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89" w:rsidRDefault="00456F89" w:rsidP="00456F89">
      <w:pPr>
        <w:pStyle w:val="Cmsor1"/>
      </w:pPr>
      <w:r>
        <w:t>A VI. Kukorica Termésverseny parcelláinak növényvédelmi értékelése</w:t>
      </w:r>
    </w:p>
    <w:p w:rsidR="00F82D3E" w:rsidRPr="00F82D3E" w:rsidRDefault="00F82D3E" w:rsidP="00F82D3E">
      <w:bookmarkStart w:id="0" w:name="_GoBack"/>
      <w:bookmarkEnd w:id="0"/>
    </w:p>
    <w:p w:rsidR="00456F89" w:rsidRDefault="00456F89" w:rsidP="00456F89">
      <w:pPr>
        <w:pStyle w:val="Kpalrs"/>
        <w:keepNext/>
      </w:pPr>
      <w:fldSimple w:instr=" SEQ táblázat \* ARABIC ">
        <w:r>
          <w:rPr>
            <w:noProof/>
          </w:rPr>
          <w:t>6</w:t>
        </w:r>
      </w:fldSimple>
      <w:r>
        <w:t>. táblázat: Felhasznált gyomirtó szerek és a felhasználás gyakorisága</w:t>
      </w:r>
    </w:p>
    <w:tbl>
      <w:tblPr>
        <w:tblW w:w="4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998"/>
        <w:gridCol w:w="1252"/>
        <w:gridCol w:w="364"/>
        <w:gridCol w:w="1582"/>
        <w:gridCol w:w="1265"/>
      </w:tblGrid>
      <w:tr w:rsidR="00456F89" w:rsidRPr="0069272C" w:rsidTr="001C5D8A">
        <w:trPr>
          <w:trHeight w:val="300"/>
        </w:trPr>
        <w:tc>
          <w:tcPr>
            <w:tcW w:w="790" w:type="pct"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9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Gyomirtó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</w:r>
            <w:r w:rsidRPr="00A9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Parcella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br/>
            </w:r>
            <w:r w:rsidRPr="006927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db</w:t>
            </w:r>
          </w:p>
        </w:tc>
        <w:tc>
          <w:tcPr>
            <w:tcW w:w="237" w:type="pct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9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Gyomirtó szer</w:t>
            </w:r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Parcella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br/>
            </w:r>
            <w:r w:rsidRPr="0069272C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db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Adengo</w:t>
            </w:r>
            <w:proofErr w:type="spellEnd"/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U46 </w:t>
            </w: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D-Fluid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SL</w:t>
            </w:r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Dual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Gold 960 EC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Calaris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Lumax</w:t>
            </w:r>
            <w:proofErr w:type="spellEnd"/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Cambio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Gardoprim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Plus Gold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Casper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Monsoon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Active</w:t>
            </w:r>
            <w:proofErr w:type="spellEnd"/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Clio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Ordax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csomag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CORN TOP</w:t>
            </w:r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Calaris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Pro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Elumis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Dicopur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Top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Laudis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Elumis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Peak</w:t>
            </w:r>
            <w:proofErr w:type="spellEnd"/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Merlin </w:t>
            </w: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flex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Arigo</w:t>
            </w:r>
            <w:proofErr w:type="spellEnd"/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Nic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it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shadow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Colombus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EC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Nicosh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4 SC</w:t>
            </w:r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Dezormon</w:t>
            </w:r>
            <w:proofErr w:type="spellEnd"/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Peak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Dikamin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720 WSC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Plamen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Jumbo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Turbo</w:t>
            </w:r>
            <w:proofErr w:type="spellEnd"/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Spirit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Principal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Gold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Spirit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</w:t>
            </w:r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Principal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Plus Gold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Stomp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02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Talizman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+</w:t>
            </w: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Plamen</w:t>
            </w:r>
            <w:proofErr w:type="spellEnd"/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37" w:type="pct"/>
            <w:vAlign w:val="bottom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Successor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790" w:type="pct"/>
            <w:vAlign w:val="bottom"/>
          </w:tcPr>
          <w:p w:rsidR="00456F89" w:rsidRDefault="00456F89" w:rsidP="001C5D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2" w:type="pct"/>
            <w:noWrap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16" w:type="pct"/>
            <w:noWrap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37" w:type="pct"/>
            <w:vAlign w:val="bottom"/>
          </w:tcPr>
          <w:p w:rsidR="00456F89" w:rsidRDefault="00456F89" w:rsidP="001C5D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031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Talizman</w:t>
            </w:r>
            <w:proofErr w:type="spellEnd"/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</w:trPr>
        <w:tc>
          <w:tcPr>
            <w:tcW w:w="4176" w:type="pct"/>
            <w:gridSpan w:val="5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E4B7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Összes kezelés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(beleértve a többszörös kezeléseket is)</w:t>
            </w:r>
            <w:r w:rsidRPr="002E4B7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:</w:t>
            </w:r>
          </w:p>
        </w:tc>
        <w:tc>
          <w:tcPr>
            <w:tcW w:w="824" w:type="pct"/>
            <w:vAlign w:val="center"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80</w:t>
            </w:r>
          </w:p>
        </w:tc>
      </w:tr>
    </w:tbl>
    <w:p w:rsidR="00456F89" w:rsidRDefault="00456F89" w:rsidP="00456F89"/>
    <w:p w:rsidR="00456F89" w:rsidRDefault="00456F89" w:rsidP="00456F89">
      <w:r>
        <w:t>A táblázat jól szemlélteti a jelenleg rendelkezésre álló széles termékválasztékot. Népszerűek a széles hatásspektrumú gyári kombinációk és gyártói csomagok, melyek felhasználása vélhetően a jövőben is növekedni fog. A döntés sokszor nehéz, hiszen nagyon sok tényezőt kell figyelembe venni a beszerzést megelőzően.</w:t>
      </w:r>
    </w:p>
    <w:p w:rsidR="00456F89" w:rsidRDefault="00456F89" w:rsidP="00456F89">
      <w:r>
        <w:t xml:space="preserve">A felhasznált gyomirtó szerek gyakorisága alapján elmondható, hogy a termelők a versenyparcellák döntő részén </w:t>
      </w:r>
      <w:proofErr w:type="spellStart"/>
      <w:r>
        <w:t>posztemergens</w:t>
      </w:r>
      <w:proofErr w:type="spellEnd"/>
      <w:r>
        <w:t xml:space="preserve">, azon belül is a korai poszt gyomirtási lehetőségeket részesítették előnyben. A </w:t>
      </w:r>
      <w:proofErr w:type="spellStart"/>
      <w:r>
        <w:t>preemergens</w:t>
      </w:r>
      <w:proofErr w:type="spellEnd"/>
      <w:r>
        <w:t xml:space="preserve"> technológia az időjárási szélsőségek miatt visszaszorult. Versenyben való indulásnál előnyös, ha már az előző évben a kiszemelt táblán betakarítás után elpusztítjuk az évelőket, így csak a magról kelő gyomokkal kell megbirkózni kukorica 2-4 leveles korában. A felhasznált készítmények alapján valószínűsíthető, hogy a versenyzők többsége ezt figyelembe is veszi. </w:t>
      </w:r>
      <w:proofErr w:type="spellStart"/>
      <w:r>
        <w:t>Fitotoxicitás</w:t>
      </w:r>
      <w:proofErr w:type="spellEnd"/>
      <w:r>
        <w:t xml:space="preserve"> szempontjából az első 7 helyen álló gyomirtó szer jelenti a legkisebb kockázatot. </w:t>
      </w:r>
    </w:p>
    <w:p w:rsidR="00456F89" w:rsidRDefault="00456F89" w:rsidP="00456F89">
      <w:r>
        <w:t xml:space="preserve">A </w:t>
      </w:r>
      <w:proofErr w:type="spellStart"/>
      <w:r>
        <w:t>posztemergens</w:t>
      </w:r>
      <w:proofErr w:type="spellEnd"/>
      <w:r>
        <w:t xml:space="preserve"> </w:t>
      </w:r>
      <w:proofErr w:type="spellStart"/>
      <w:r>
        <w:t>hatónyagok</w:t>
      </w:r>
      <w:proofErr w:type="spellEnd"/>
      <w:r>
        <w:t xml:space="preserve"> közül a </w:t>
      </w:r>
      <w:proofErr w:type="spellStart"/>
      <w:r>
        <w:t>szulfoniureák</w:t>
      </w:r>
      <w:proofErr w:type="spellEnd"/>
      <w:r>
        <w:t xml:space="preserve"> vannak vezető </w:t>
      </w:r>
      <w:proofErr w:type="gramStart"/>
      <w:r>
        <w:t>pozícióban</w:t>
      </w:r>
      <w:proofErr w:type="gramEnd"/>
      <w:r>
        <w:t xml:space="preserve">. Kiemelendő a </w:t>
      </w:r>
      <w:proofErr w:type="spellStart"/>
      <w:r>
        <w:t>nikoszulfuron</w:t>
      </w:r>
      <w:proofErr w:type="spellEnd"/>
      <w:r>
        <w:t>, mely önmagában számos termékben megjelenik, de a legtöbb gyártói kombináció is tartalmazza. Az évelő egyszikűek ellen ez a legnagyobb mennyiségben felhasznált hatóanyag.</w:t>
      </w:r>
    </w:p>
    <w:p w:rsidR="00456F89" w:rsidRDefault="00456F89" w:rsidP="00456F89">
      <w:r>
        <w:t xml:space="preserve">Néhány esetben, ahol az évelő kétszikű egyedszám ezt indokolta, hormonhatású készítményekhez is hozzá kellett nyúlni a biztos hatás érdekében. Összesen 7 parcellán használtak 2,4 D tartalmú herbicidet, ami nem megfelelő időpontban kijuttatva látványos </w:t>
      </w:r>
      <w:proofErr w:type="spellStart"/>
      <w:r>
        <w:t>fitotoxicitást</w:t>
      </w:r>
      <w:proofErr w:type="spellEnd"/>
      <w:r>
        <w:t xml:space="preserve"> okoz, ezáltal a termés is </w:t>
      </w:r>
      <w:r>
        <w:lastRenderedPageBreak/>
        <w:t xml:space="preserve">csökkenhet. A későn elvégzett </w:t>
      </w:r>
      <w:proofErr w:type="spellStart"/>
      <w:r>
        <w:t>posztemergens</w:t>
      </w:r>
      <w:proofErr w:type="spellEnd"/>
      <w:r>
        <w:t xml:space="preserve"> gyomirtások a parcellák csak kis hányadában fordultak elő. Rendelkezésre állnak olyan 3-4 hatóanyagos megoldások, amikkel a túlfejlett magról kelő és évelő gyomokkal fertőzött táblákat is eredményesen „ki lehet takarítani”. Több csomag is látható az engedélyezett gyomirtó szerek jegyzékén, amely szinte minden gyom</w:t>
      </w:r>
      <w:proofErr w:type="gramStart"/>
      <w:r>
        <w:t>problémára</w:t>
      </w:r>
      <w:proofErr w:type="gramEnd"/>
      <w:r>
        <w:t xml:space="preserve"> egyszeri kijuttatással megoldást kínál. Összetételükre tekintettel kell lenni ahhoz, hogy eldönthessük, vajon okozhatnak-e terméskiesést anélkül, hogy ezt a kezelést követően a kukoricán a tüneteket észrevennénk! </w:t>
      </w:r>
    </w:p>
    <w:p w:rsidR="00456F89" w:rsidRDefault="00456F89" w:rsidP="00456F89">
      <w:pPr>
        <w:pStyle w:val="Kpalrs"/>
        <w:keepNext/>
      </w:pPr>
      <w:fldSimple w:instr=" SEQ táblázat \* ARABIC ">
        <w:r>
          <w:rPr>
            <w:noProof/>
          </w:rPr>
          <w:t>7</w:t>
        </w:r>
      </w:fldSimple>
      <w:r>
        <w:t>. táblázat: Felhasznált talajfertőtlenítő szerek és a felhasználás gyakorisága</w:t>
      </w:r>
    </w:p>
    <w:tbl>
      <w:tblPr>
        <w:tblW w:w="3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76"/>
      </w:tblGrid>
      <w:tr w:rsidR="00456F89" w:rsidRPr="002D0AAD" w:rsidTr="001C5D8A">
        <w:trPr>
          <w:trHeight w:val="300"/>
          <w:jc w:val="center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456F89" w:rsidRPr="002D0AAD" w:rsidRDefault="00456F89" w:rsidP="001C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Talajfertőtlenítő szer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2D0AAD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2D0AAD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Parcella db</w:t>
            </w:r>
          </w:p>
        </w:tc>
      </w:tr>
      <w:tr w:rsidR="00456F89" w:rsidRPr="0069272C" w:rsidTr="001C5D8A">
        <w:trPr>
          <w:trHeight w:val="300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Force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1,5 G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</w:tr>
      <w:tr w:rsidR="00456F89" w:rsidRPr="0069272C" w:rsidTr="001C5D8A">
        <w:trPr>
          <w:trHeight w:val="300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Kentaur 1,5 G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456F89" w:rsidRPr="0069272C" w:rsidTr="001C5D8A">
        <w:trPr>
          <w:trHeight w:val="300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Pannon  Starter</w:t>
            </w:r>
            <w:proofErr w:type="gram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Power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456F89" w:rsidRPr="0069272C" w:rsidTr="001C5D8A">
        <w:trPr>
          <w:trHeight w:val="300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Ercole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Pyrinex</w:t>
            </w:r>
            <w:proofErr w:type="spellEnd"/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48 EC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69272C" w:rsidTr="001C5D8A">
        <w:trPr>
          <w:trHeight w:val="300"/>
          <w:jc w:val="center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456F89" w:rsidRPr="0069272C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Kentaur 5 G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69272C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72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C222FB" w:rsidTr="001C5D8A">
        <w:trPr>
          <w:trHeight w:val="300"/>
          <w:jc w:val="center"/>
        </w:trPr>
        <w:tc>
          <w:tcPr>
            <w:tcW w:w="2260" w:type="dxa"/>
            <w:shd w:val="clear" w:color="auto" w:fill="auto"/>
            <w:noWrap/>
            <w:vAlign w:val="bottom"/>
          </w:tcPr>
          <w:p w:rsidR="00456F89" w:rsidRPr="00C222FB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222F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Összes kezelt parcella: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456F89" w:rsidRPr="00C222FB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222F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fldChar w:fldCharType="begin"/>
            </w:r>
            <w:r w:rsidRPr="00C222F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instrText xml:space="preserve"> =SUM(ABOVE) </w:instrText>
            </w:r>
            <w:r w:rsidRPr="00C222F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fldChar w:fldCharType="separate"/>
            </w:r>
            <w:r w:rsidRPr="00C222FB">
              <w:rPr>
                <w:rFonts w:ascii="Calibri" w:eastAsia="Times New Roman" w:hAnsi="Calibri" w:cs="Times New Roman"/>
                <w:b/>
                <w:noProof/>
                <w:color w:val="000000"/>
                <w:lang w:eastAsia="hu-HU"/>
              </w:rPr>
              <w:t>29</w:t>
            </w:r>
            <w:r w:rsidRPr="00C222F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fldChar w:fldCharType="end"/>
            </w:r>
          </w:p>
        </w:tc>
      </w:tr>
    </w:tbl>
    <w:p w:rsidR="00456F89" w:rsidRDefault="00456F89" w:rsidP="00456F89"/>
    <w:p w:rsidR="00456F89" w:rsidRDefault="00456F89" w:rsidP="00456F89">
      <w:r>
        <w:t xml:space="preserve">A talajfertőtlenítő szer használat 2014-ben az előző évekhez képest sokkal nagyobb területen volt jellemző, melynek egyértelmű oka a korábban említett </w:t>
      </w:r>
      <w:proofErr w:type="spellStart"/>
      <w:r>
        <w:t>neonikotinoid</w:t>
      </w:r>
      <w:proofErr w:type="spellEnd"/>
      <w:r>
        <w:t xml:space="preserve"> típusú csávázószerek EU szintű korlátozása. A táblázat mutatja, hogy a versenyterületek 2/3-án </w:t>
      </w:r>
      <w:proofErr w:type="spellStart"/>
      <w:r>
        <w:t>piretroid</w:t>
      </w:r>
      <w:proofErr w:type="spellEnd"/>
      <w:r>
        <w:t xml:space="preserve"> típusú - a már jól ismert </w:t>
      </w:r>
      <w:proofErr w:type="spellStart"/>
      <w:r>
        <w:t>teflutrin</w:t>
      </w:r>
      <w:proofErr w:type="spellEnd"/>
      <w:r>
        <w:t xml:space="preserve"> hatóanyagú - terméket választották. Általánosságban elmondható, hogy minden eddiginél nagyobb </w:t>
      </w:r>
      <w:proofErr w:type="spellStart"/>
      <w:r>
        <w:t>Force</w:t>
      </w:r>
      <w:proofErr w:type="spellEnd"/>
      <w:r>
        <w:t xml:space="preserve"> igényt adtak le a termelők, melyre a gyártó is megfelelőképpen felkészült. Egyes helyeken indokolt volt a maximális </w:t>
      </w:r>
      <w:proofErr w:type="gramStart"/>
      <w:r>
        <w:t>dózisban</w:t>
      </w:r>
      <w:proofErr w:type="gramEnd"/>
      <w:r>
        <w:t xml:space="preserve"> történő kijuttatás ahhoz, hogy a kukoricabogár lárvája ellen is jó hatékonysága legyen. A </w:t>
      </w:r>
      <w:proofErr w:type="spellStart"/>
      <w:r>
        <w:t>Force</w:t>
      </w:r>
      <w:proofErr w:type="spellEnd"/>
      <w:r>
        <w:t xml:space="preserve"> mellett egy új, szintén ehhez a hatóanyagcsoporthoz tartozó készítmény is forgalomba került </w:t>
      </w:r>
      <w:proofErr w:type="spellStart"/>
      <w:r>
        <w:t>Ercole</w:t>
      </w:r>
      <w:proofErr w:type="spellEnd"/>
      <w:r>
        <w:t xml:space="preserve"> néven (hatóanyaga: </w:t>
      </w:r>
      <w:proofErr w:type="spellStart"/>
      <w:r>
        <w:t>lambda-cihalotrin</w:t>
      </w:r>
      <w:proofErr w:type="spellEnd"/>
      <w:r>
        <w:t xml:space="preserve">), melyet egy versenyterületen próbáltak ki. A szerves foszforsav észterek közül a szilárd változatú </w:t>
      </w:r>
      <w:proofErr w:type="spellStart"/>
      <w:r>
        <w:t>klórpirifosz</w:t>
      </w:r>
      <w:proofErr w:type="spellEnd"/>
      <w:r>
        <w:t xml:space="preserve"> hatóanyagú Kentaur-t 6 és a folyékony </w:t>
      </w:r>
      <w:proofErr w:type="spellStart"/>
      <w:r>
        <w:t>Pyrinex</w:t>
      </w:r>
      <w:proofErr w:type="spellEnd"/>
      <w:r>
        <w:t xml:space="preserve"> 48 </w:t>
      </w:r>
      <w:proofErr w:type="spellStart"/>
      <w:r>
        <w:t>EC-t</w:t>
      </w:r>
      <w:proofErr w:type="spellEnd"/>
      <w:r>
        <w:t xml:space="preserve"> 1 parcella kapta. Az év folyamán több szakcikket is olvashattunk a foszforsav észterek és a gyomirtásban használt </w:t>
      </w:r>
      <w:proofErr w:type="spellStart"/>
      <w:r>
        <w:t>szulfonilkarbamidok</w:t>
      </w:r>
      <w:proofErr w:type="spellEnd"/>
      <w:r>
        <w:t xml:space="preserve"> káros </w:t>
      </w:r>
      <w:proofErr w:type="gramStart"/>
      <w:r>
        <w:t>interakciójáról</w:t>
      </w:r>
      <w:proofErr w:type="gramEnd"/>
      <w:r>
        <w:t>, pro és kontra. A versenyparcellákkal kapcsolatos panaszról nem értesültünk.</w:t>
      </w:r>
    </w:p>
    <w:p w:rsidR="00456F89" w:rsidRDefault="00456F89" w:rsidP="00456F89">
      <w:r>
        <w:t xml:space="preserve">A Pannon starter </w:t>
      </w:r>
      <w:proofErr w:type="spellStart"/>
      <w:r>
        <w:t>Power</w:t>
      </w:r>
      <w:proofErr w:type="spellEnd"/>
      <w:r>
        <w:t xml:space="preserve"> nem </w:t>
      </w:r>
      <w:proofErr w:type="gramStart"/>
      <w:r>
        <w:t>klasszikus</w:t>
      </w:r>
      <w:proofErr w:type="gramEnd"/>
      <w:r>
        <w:t xml:space="preserve"> értelemben vett talajfertőtlenítő, hiszen termésnövelő készítményként kapta meg az engedélyokiratot. Magas foszfortartalmú starter műtrágya és egy hozzáadott </w:t>
      </w:r>
      <w:proofErr w:type="gramStart"/>
      <w:r>
        <w:t>speciális</w:t>
      </w:r>
      <w:proofErr w:type="gramEnd"/>
      <w:r>
        <w:t xml:space="preserve"> gombafaj keveréke. A gyártó kísérleti adatai alapján a benne lévő </w:t>
      </w:r>
      <w:proofErr w:type="spellStart"/>
      <w:r>
        <w:t>Beuveria</w:t>
      </w:r>
      <w:proofErr w:type="spellEnd"/>
      <w:r>
        <w:t xml:space="preserve"> </w:t>
      </w:r>
      <w:proofErr w:type="spellStart"/>
      <w:r>
        <w:t>bassiana</w:t>
      </w:r>
      <w:proofErr w:type="spellEnd"/>
      <w:r>
        <w:t xml:space="preserve"> gomba elszaporodása kedvezőtlen környezetet teremt és gátolja a talajlakó kártevők fejlődését, szaporodását. 2 termelő döntött úgy, hogy ezt a megoldást választja. </w:t>
      </w:r>
    </w:p>
    <w:p w:rsidR="00456F89" w:rsidRDefault="00456F89" w:rsidP="00456F89">
      <w:pPr>
        <w:pStyle w:val="Kpalrs"/>
        <w:keepNext/>
      </w:pPr>
      <w:fldSimple w:instr=" SEQ táblázat \* ARABIC ">
        <w:r>
          <w:rPr>
            <w:noProof/>
          </w:rPr>
          <w:t>8</w:t>
        </w:r>
      </w:fldSimple>
      <w:r>
        <w:t xml:space="preserve">. táblázat: Rovarölő szer felhasználás korai </w:t>
      </w:r>
      <w:proofErr w:type="gramStart"/>
      <w:r>
        <w:t>stádiumban</w:t>
      </w:r>
      <w:proofErr w:type="gramEnd"/>
      <w:r>
        <w:t xml:space="preserve"> fellépő rovarkártétellel szemben</w:t>
      </w:r>
    </w:p>
    <w:tbl>
      <w:tblPr>
        <w:tblW w:w="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976"/>
      </w:tblGrid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Rovarölő szer neve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br/>
            </w:r>
            <w:r w:rsidRPr="00A961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(korai permetezés)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Parcella db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456F89" w:rsidRPr="00A96163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Fury</w:t>
            </w:r>
            <w:proofErr w:type="spellEnd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10 EW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456F89" w:rsidRPr="00A96163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</w:t>
            </w: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endona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456F89" w:rsidRPr="00A96163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Cyren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456F89" w:rsidRPr="00A96163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Karis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10 CS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</w:tcPr>
          <w:p w:rsidR="00456F89" w:rsidRPr="00A96163" w:rsidRDefault="00456F89" w:rsidP="001C5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Összesen: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</w:tr>
    </w:tbl>
    <w:p w:rsidR="00456F89" w:rsidRDefault="00456F89" w:rsidP="00456F89"/>
    <w:p w:rsidR="00456F89" w:rsidRDefault="00456F89" w:rsidP="00456F89">
      <w:r>
        <w:lastRenderedPageBreak/>
        <w:t>Korai állománypermetezésre a barkók, földibolhák, és később a vetési bagolypille lárvája (</w:t>
      </w:r>
      <w:proofErr w:type="spellStart"/>
      <w:r>
        <w:t>mocskospajor</w:t>
      </w:r>
      <w:proofErr w:type="spellEnd"/>
      <w:r>
        <w:t xml:space="preserve">) miatt volt szükség egyes helyeken. A jellemzően május végén, június elején károsító hernyó ellen a vetéskor kijuttatott talajfertőtlenítő szerek már nem voltak hatással. Fokozott gyomosodás esetén kifejezetten javasolt a </w:t>
      </w:r>
      <w:proofErr w:type="spellStart"/>
      <w:r>
        <w:t>posztemergensen</w:t>
      </w:r>
      <w:proofErr w:type="spellEnd"/>
      <w:r>
        <w:t xml:space="preserve"> használt gyomirtó szerhez keverni egy erre a célra alkalmas rovarölő szert. A 8. táblázatban láthatjuk a felhasznált </w:t>
      </w:r>
      <w:proofErr w:type="spellStart"/>
      <w:r>
        <w:t>inszekticid</w:t>
      </w:r>
      <w:proofErr w:type="spellEnd"/>
      <w:r>
        <w:t xml:space="preserve"> készítményeket.</w:t>
      </w:r>
    </w:p>
    <w:p w:rsidR="00456F89" w:rsidRDefault="00456F89" w:rsidP="00456F89"/>
    <w:p w:rsidR="00456F89" w:rsidRDefault="00456F89" w:rsidP="00456F89">
      <w:pPr>
        <w:pStyle w:val="Kpalrs"/>
        <w:keepNext/>
      </w:pPr>
      <w:fldSimple w:instr=" SEQ táblázat \* ARABIC ">
        <w:r>
          <w:rPr>
            <w:noProof/>
          </w:rPr>
          <w:t>9</w:t>
        </w:r>
      </w:fldSimple>
      <w:r>
        <w:t>. táblázat: Rovarölő szer felhasználás fejlett állományba betelepülő kártevők ellen</w:t>
      </w:r>
    </w:p>
    <w:tbl>
      <w:tblPr>
        <w:tblW w:w="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976"/>
      </w:tblGrid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center"/>
            <w:hideMark/>
          </w:tcPr>
          <w:p w:rsidR="00456F89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Rovarölő szer neve</w:t>
            </w:r>
          </w:p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(fejlett állomány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ban</w:t>
            </w:r>
            <w:r w:rsidRPr="00A961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Parcella db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456F89" w:rsidRPr="00A96163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Coragen</w:t>
            </w:r>
            <w:proofErr w:type="spellEnd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456F89" w:rsidRPr="00A96163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Biscaya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456F89" w:rsidRPr="00A96163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Coragen</w:t>
            </w:r>
            <w:proofErr w:type="spellEnd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és Karate </w:t>
            </w:r>
            <w:proofErr w:type="spellStart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Zeon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456F89" w:rsidRPr="00A96163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Kaiso</w:t>
            </w:r>
            <w:proofErr w:type="spellEnd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EG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456F89" w:rsidRPr="00A96163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Pyrinex</w:t>
            </w:r>
            <w:proofErr w:type="spellEnd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25 CS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  <w:hideMark/>
          </w:tcPr>
          <w:p w:rsidR="00456F89" w:rsidRPr="00A96163" w:rsidRDefault="00456F89" w:rsidP="001C5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Fendona</w:t>
            </w:r>
            <w:proofErr w:type="spellEnd"/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10 EC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96163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</w:tr>
      <w:tr w:rsidR="00456F89" w:rsidRPr="00A96163" w:rsidTr="001C5D8A">
        <w:trPr>
          <w:trHeight w:val="300"/>
          <w:jc w:val="center"/>
        </w:trPr>
        <w:tc>
          <w:tcPr>
            <w:tcW w:w="3776" w:type="dxa"/>
            <w:shd w:val="clear" w:color="auto" w:fill="auto"/>
            <w:noWrap/>
            <w:vAlign w:val="bottom"/>
          </w:tcPr>
          <w:p w:rsidR="00456F89" w:rsidRPr="00A96163" w:rsidRDefault="00456F89" w:rsidP="001C5D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Összesen: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456F89" w:rsidRPr="00A96163" w:rsidRDefault="00456F89" w:rsidP="001C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hu-H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fldChar w:fldCharType="end"/>
            </w:r>
          </w:p>
        </w:tc>
      </w:tr>
    </w:tbl>
    <w:p w:rsidR="00456F89" w:rsidRDefault="00456F89" w:rsidP="00456F89"/>
    <w:p w:rsidR="00456F89" w:rsidRDefault="00456F89" w:rsidP="00456F89">
      <w:r>
        <w:t>A takarmánykukorica rovarölő szeres állománykezelése az utóbbi években kezdett elterjedni, és számítani lehet arra, hogy bevett gyakorlattá fog válni a jövőben. Tonnákban mérhető terméstöbbletet és alacsony toxintartalmú áru előállítást tesz lehetővé, ezáltal többletjövedelem érhető el. Állománykezelések elsősorban a molykártevők (kukoricamoly, gyapottok bagolylepke), illetve kisebb részben az amerikai kukoricabogár imágók ellen történtek. Minden esetben kiemelten fontos az előrejelzés szerepe, hiszen csak a megfelelő időpontban végzett kezelés lesz eredményes.</w:t>
      </w:r>
    </w:p>
    <w:p w:rsidR="00456F89" w:rsidRDefault="00456F89" w:rsidP="00456F89">
      <w:r>
        <w:t xml:space="preserve">Rovarölő szeres védekezéssel a molykártétel és </w:t>
      </w:r>
      <w:proofErr w:type="gramStart"/>
      <w:r>
        <w:t>ezáltal</w:t>
      </w:r>
      <w:proofErr w:type="gramEnd"/>
      <w:r>
        <w:t xml:space="preserve"> a gombafertőzések igazolhatóan csökkenthetőek. A 2014-es évben megfigyeléseink szerint kb. 70-80 %-ban a kukoricamoly rágása okozta a kártételt. A versenyzők több lehetőség közül is választottak, melyet a 9. táblázat mutat. A </w:t>
      </w:r>
      <w:proofErr w:type="spellStart"/>
      <w:r>
        <w:t>piretroidok</w:t>
      </w:r>
      <w:proofErr w:type="spellEnd"/>
      <w:r>
        <w:t xml:space="preserve"> előnyei többek közt a gyors, taglózó hatásuk, és hogy viszonylag kedvező áron beszerezhetőek. Mivel tartamhatással nem, vagy csak rövid ideig bírnak, egy elhúzódó rajzás, betelepülés esetén a kezelést meg kell ismételni. Továbbá nem szelektívek, a hasznos rovarokat (ragadozó atkák, </w:t>
      </w:r>
      <w:proofErr w:type="spellStart"/>
      <w:r>
        <w:t>fátyolka</w:t>
      </w:r>
      <w:proofErr w:type="spellEnd"/>
      <w:r>
        <w:t xml:space="preserve">) is elpusztítják és a méhekre is mérsékelten veszélyesek. Az új </w:t>
      </w:r>
      <w:proofErr w:type="gramStart"/>
      <w:r>
        <w:t>generációs</w:t>
      </w:r>
      <w:proofErr w:type="gramEnd"/>
      <w:r>
        <w:t xml:space="preserve"> </w:t>
      </w:r>
      <w:proofErr w:type="spellStart"/>
      <w:r>
        <w:t>klorantraniliprol</w:t>
      </w:r>
      <w:proofErr w:type="spellEnd"/>
      <w:r>
        <w:t xml:space="preserve"> hatóanyagú </w:t>
      </w:r>
      <w:proofErr w:type="spellStart"/>
      <w:r>
        <w:t>Coragen-t</w:t>
      </w:r>
      <w:proofErr w:type="spellEnd"/>
      <w:r>
        <w:t xml:space="preserve"> 5 parcellán alkalmazták. A magasabb árát talán több előnye is </w:t>
      </w:r>
      <w:proofErr w:type="gramStart"/>
      <w:r>
        <w:t>kompenzálja</w:t>
      </w:r>
      <w:proofErr w:type="gramEnd"/>
      <w:r>
        <w:t>, mint például a rezisztenciatörés, hosszú tartamhatás, valamint a hasznos ragadozó és beporzó rovarok védelme.</w:t>
      </w:r>
    </w:p>
    <w:p w:rsidR="00C93565" w:rsidRDefault="00C93565"/>
    <w:sectPr w:rsidR="00C9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89"/>
    <w:rsid w:val="00456F89"/>
    <w:rsid w:val="00C93565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4666-B7ED-41AC-84D8-AA92AB7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F89"/>
  </w:style>
  <w:style w:type="paragraph" w:styleId="Cmsor1">
    <w:name w:val="heading 1"/>
    <w:basedOn w:val="Norml"/>
    <w:next w:val="Norml"/>
    <w:link w:val="Cmsor1Char"/>
    <w:uiPriority w:val="9"/>
    <w:qFormat/>
    <w:rsid w:val="0045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56F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56F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456F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56F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932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Szieberth Dénes</cp:lastModifiedBy>
  <cp:revision>2</cp:revision>
  <dcterms:created xsi:type="dcterms:W3CDTF">2015-01-17T15:49:00Z</dcterms:created>
  <dcterms:modified xsi:type="dcterms:W3CDTF">2015-01-17T19:42:00Z</dcterms:modified>
</cp:coreProperties>
</file>