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57" w:rsidRPr="00D50857" w:rsidRDefault="00D50857" w:rsidP="00D50857">
      <w:pPr>
        <w:jc w:val="center"/>
        <w:rPr>
          <w:rFonts w:cstheme="minorHAnsi"/>
          <w:b/>
          <w:sz w:val="28"/>
          <w:szCs w:val="28"/>
        </w:rPr>
      </w:pPr>
      <w:r w:rsidRPr="00D50857">
        <w:rPr>
          <w:rFonts w:cstheme="minorHAnsi"/>
          <w:b/>
          <w:sz w:val="28"/>
          <w:szCs w:val="28"/>
        </w:rPr>
        <w:t>Januári terménypiaci kilátások az USDA aktuális becslései tükrében</w:t>
      </w:r>
    </w:p>
    <w:p w:rsidR="00D50857" w:rsidRPr="00D50857" w:rsidRDefault="00D50857" w:rsidP="00D50857">
      <w:pPr>
        <w:jc w:val="center"/>
        <w:rPr>
          <w:rFonts w:cstheme="minorHAnsi"/>
          <w:b/>
          <w:i/>
          <w:sz w:val="24"/>
          <w:szCs w:val="24"/>
        </w:rPr>
      </w:pPr>
      <w:r w:rsidRPr="00D50857">
        <w:rPr>
          <w:rFonts w:cstheme="minorHAnsi"/>
          <w:b/>
          <w:i/>
          <w:sz w:val="24"/>
          <w:szCs w:val="24"/>
        </w:rPr>
        <w:t>Benedek Szilveszter</w:t>
      </w:r>
    </w:p>
    <w:p w:rsidR="00D50857" w:rsidRDefault="00D50857" w:rsidP="00370326">
      <w:pPr>
        <w:jc w:val="both"/>
        <w:rPr>
          <w:rFonts w:cstheme="minorHAnsi"/>
          <w:sz w:val="24"/>
          <w:szCs w:val="24"/>
        </w:rPr>
      </w:pPr>
    </w:p>
    <w:p w:rsidR="00564250" w:rsidRDefault="00370326" w:rsidP="00370326">
      <w:pPr>
        <w:jc w:val="both"/>
        <w:rPr>
          <w:rFonts w:cstheme="minorHAnsi"/>
          <w:sz w:val="24"/>
          <w:szCs w:val="24"/>
        </w:rPr>
      </w:pPr>
      <w:r>
        <w:rPr>
          <w:rFonts w:cstheme="minorHAnsi"/>
          <w:sz w:val="24"/>
          <w:szCs w:val="24"/>
        </w:rPr>
        <w:t>A</w:t>
      </w:r>
      <w:r w:rsidRPr="00370326">
        <w:rPr>
          <w:rFonts w:cstheme="minorHAnsi"/>
          <w:sz w:val="24"/>
          <w:szCs w:val="24"/>
        </w:rPr>
        <w:t>z Amerikai Egyesült Államok Mezőgazdasági Minisztériuma (USDA)</w:t>
      </w:r>
      <w:r>
        <w:rPr>
          <w:rFonts w:cstheme="minorHAnsi"/>
          <w:sz w:val="24"/>
          <w:szCs w:val="24"/>
        </w:rPr>
        <w:t xml:space="preserve"> </w:t>
      </w:r>
      <w:r>
        <w:rPr>
          <w:sz w:val="24"/>
          <w:szCs w:val="24"/>
        </w:rPr>
        <w:t xml:space="preserve">közreadta az </w:t>
      </w:r>
      <w:proofErr w:type="gramStart"/>
      <w:r w:rsidR="00D50857">
        <w:rPr>
          <w:sz w:val="24"/>
          <w:szCs w:val="24"/>
        </w:rPr>
        <w:t>új esztendő</w:t>
      </w:r>
      <w:proofErr w:type="gramEnd"/>
      <w:r>
        <w:rPr>
          <w:sz w:val="24"/>
          <w:szCs w:val="24"/>
        </w:rPr>
        <w:t xml:space="preserve"> első jelentését</w:t>
      </w:r>
      <w:r w:rsidRPr="00370326">
        <w:rPr>
          <w:sz w:val="24"/>
          <w:szCs w:val="24"/>
        </w:rPr>
        <w:t xml:space="preserve"> </w:t>
      </w:r>
      <w:r w:rsidRPr="00370326">
        <w:rPr>
          <w:rFonts w:cstheme="minorHAnsi"/>
          <w:sz w:val="24"/>
          <w:szCs w:val="24"/>
        </w:rPr>
        <w:t>a világ főbb mezőgazdasági termékeinek várható termelési és készletalakulásairól (</w:t>
      </w:r>
      <w:r w:rsidRPr="00370326">
        <w:rPr>
          <w:rFonts w:cstheme="minorHAnsi"/>
          <w:i/>
          <w:sz w:val="24"/>
          <w:szCs w:val="24"/>
        </w:rPr>
        <w:t>Eredeti dokumentum:</w:t>
      </w:r>
      <w:r w:rsidRPr="00370326">
        <w:rPr>
          <w:rFonts w:cstheme="minorHAnsi"/>
          <w:sz w:val="24"/>
          <w:szCs w:val="24"/>
        </w:rPr>
        <w:t xml:space="preserve"> United </w:t>
      </w:r>
      <w:proofErr w:type="spellStart"/>
      <w:r w:rsidRPr="00370326">
        <w:rPr>
          <w:rFonts w:cstheme="minorHAnsi"/>
          <w:sz w:val="24"/>
          <w:szCs w:val="24"/>
        </w:rPr>
        <w:t>States</w:t>
      </w:r>
      <w:proofErr w:type="spellEnd"/>
      <w:r w:rsidRPr="00370326">
        <w:rPr>
          <w:rFonts w:cstheme="minorHAnsi"/>
          <w:sz w:val="24"/>
          <w:szCs w:val="24"/>
        </w:rPr>
        <w:t xml:space="preserve"> </w:t>
      </w:r>
      <w:proofErr w:type="spellStart"/>
      <w:r w:rsidRPr="00370326">
        <w:rPr>
          <w:rFonts w:cstheme="minorHAnsi"/>
          <w:sz w:val="24"/>
          <w:szCs w:val="24"/>
        </w:rPr>
        <w:t>Department</w:t>
      </w:r>
      <w:proofErr w:type="spellEnd"/>
      <w:r w:rsidRPr="00370326">
        <w:rPr>
          <w:rFonts w:cstheme="minorHAnsi"/>
          <w:sz w:val="24"/>
          <w:szCs w:val="24"/>
        </w:rPr>
        <w:t xml:space="preserve"> of </w:t>
      </w:r>
      <w:proofErr w:type="spellStart"/>
      <w:r w:rsidRPr="00370326">
        <w:rPr>
          <w:rFonts w:cstheme="minorHAnsi"/>
          <w:sz w:val="24"/>
          <w:szCs w:val="24"/>
        </w:rPr>
        <w:t>Agriculture</w:t>
      </w:r>
      <w:proofErr w:type="spellEnd"/>
      <w:r w:rsidRPr="00370326">
        <w:rPr>
          <w:rFonts w:cstheme="minorHAnsi"/>
          <w:sz w:val="24"/>
          <w:szCs w:val="24"/>
        </w:rPr>
        <w:t xml:space="preserve">: World </w:t>
      </w:r>
      <w:proofErr w:type="spellStart"/>
      <w:r w:rsidRPr="00370326">
        <w:rPr>
          <w:rFonts w:cstheme="minorHAnsi"/>
          <w:sz w:val="24"/>
          <w:szCs w:val="24"/>
        </w:rPr>
        <w:t>Agricultural</w:t>
      </w:r>
      <w:proofErr w:type="spellEnd"/>
      <w:r w:rsidRPr="00370326">
        <w:rPr>
          <w:rFonts w:cstheme="minorHAnsi"/>
          <w:sz w:val="24"/>
          <w:szCs w:val="24"/>
        </w:rPr>
        <w:t xml:space="preserve"> </w:t>
      </w:r>
      <w:proofErr w:type="spellStart"/>
      <w:r w:rsidRPr="00370326">
        <w:rPr>
          <w:rFonts w:cstheme="minorHAnsi"/>
          <w:sz w:val="24"/>
          <w:szCs w:val="24"/>
        </w:rPr>
        <w:t>Supply</w:t>
      </w:r>
      <w:proofErr w:type="spellEnd"/>
      <w:r w:rsidRPr="00370326">
        <w:rPr>
          <w:rFonts w:cstheme="minorHAnsi"/>
          <w:sz w:val="24"/>
          <w:szCs w:val="24"/>
        </w:rPr>
        <w:t xml:space="preserve"> and </w:t>
      </w:r>
      <w:proofErr w:type="spellStart"/>
      <w:r w:rsidRPr="00370326">
        <w:rPr>
          <w:rFonts w:cstheme="minorHAnsi"/>
          <w:sz w:val="24"/>
          <w:szCs w:val="24"/>
        </w:rPr>
        <w:t>Demand</w:t>
      </w:r>
      <w:proofErr w:type="spellEnd"/>
      <w:r w:rsidRPr="00370326">
        <w:rPr>
          <w:rFonts w:cstheme="minorHAnsi"/>
          <w:sz w:val="24"/>
          <w:szCs w:val="24"/>
        </w:rPr>
        <w:t xml:space="preserve"> </w:t>
      </w:r>
      <w:proofErr w:type="spellStart"/>
      <w:r w:rsidRPr="00370326">
        <w:rPr>
          <w:rFonts w:cstheme="minorHAnsi"/>
          <w:sz w:val="24"/>
          <w:szCs w:val="24"/>
        </w:rPr>
        <w:t>Estimates</w:t>
      </w:r>
      <w:proofErr w:type="spellEnd"/>
      <w:r w:rsidRPr="00370326">
        <w:rPr>
          <w:rFonts w:cstheme="minorHAnsi"/>
          <w:sz w:val="24"/>
          <w:szCs w:val="24"/>
        </w:rPr>
        <w:t xml:space="preserve">. WASDE – 514, 2013. </w:t>
      </w:r>
      <w:hyperlink r:id="rId5" w:history="1">
        <w:r w:rsidRPr="00370326">
          <w:rPr>
            <w:rStyle w:val="Hiperhivatkozs"/>
            <w:rFonts w:cstheme="minorHAnsi"/>
            <w:sz w:val="24"/>
            <w:szCs w:val="24"/>
          </w:rPr>
          <w:t>http://www.usda.gov/oce/commodity/wasde/latest.pdf</w:t>
        </w:r>
      </w:hyperlink>
      <w:r w:rsidRPr="00370326">
        <w:rPr>
          <w:rFonts w:cstheme="minorHAnsi"/>
          <w:sz w:val="24"/>
          <w:szCs w:val="24"/>
        </w:rPr>
        <w:t>).</w:t>
      </w:r>
      <w:r w:rsidR="00D50857">
        <w:rPr>
          <w:rFonts w:cstheme="minorHAnsi"/>
          <w:sz w:val="24"/>
          <w:szCs w:val="24"/>
        </w:rPr>
        <w:t xml:space="preserve"> A Magyar Kukorica Klub honlapján rendszeresen a kukorica készletalakulásával kapcsolatos megállapításokat szoktuk kiemelni</w:t>
      </w:r>
      <w:r w:rsidR="000E1312">
        <w:rPr>
          <w:rFonts w:cstheme="minorHAnsi"/>
          <w:sz w:val="24"/>
          <w:szCs w:val="24"/>
        </w:rPr>
        <w:t xml:space="preserve">, most </w:t>
      </w:r>
      <w:r w:rsidR="00EB2977">
        <w:rPr>
          <w:rFonts w:cstheme="minorHAnsi"/>
          <w:sz w:val="24"/>
          <w:szCs w:val="24"/>
        </w:rPr>
        <w:t xml:space="preserve">mintegy kiinduló helyzetet az </w:t>
      </w:r>
      <w:proofErr w:type="gramStart"/>
      <w:r w:rsidR="00EB2977">
        <w:rPr>
          <w:rFonts w:cstheme="minorHAnsi"/>
          <w:sz w:val="24"/>
          <w:szCs w:val="24"/>
        </w:rPr>
        <w:t>új év</w:t>
      </w:r>
      <w:proofErr w:type="gramEnd"/>
      <w:r w:rsidR="00EB2977">
        <w:rPr>
          <w:rFonts w:cstheme="minorHAnsi"/>
          <w:sz w:val="24"/>
          <w:szCs w:val="24"/>
        </w:rPr>
        <w:t xml:space="preserve"> kezdetével</w:t>
      </w:r>
      <w:r w:rsidR="000E1312">
        <w:rPr>
          <w:rFonts w:cstheme="minorHAnsi"/>
          <w:sz w:val="24"/>
          <w:szCs w:val="24"/>
        </w:rPr>
        <w:t xml:space="preserve">, érdemesnek tartjuk azonban röviden végigmenni minden főbb mezőgazdasági terméken. </w:t>
      </w:r>
    </w:p>
    <w:p w:rsidR="000E1312" w:rsidRDefault="000E1312" w:rsidP="00370326">
      <w:pPr>
        <w:jc w:val="both"/>
        <w:rPr>
          <w:rFonts w:cstheme="minorHAnsi"/>
          <w:sz w:val="24"/>
          <w:szCs w:val="24"/>
        </w:rPr>
      </w:pPr>
      <w:r>
        <w:rPr>
          <w:rFonts w:cstheme="minorHAnsi"/>
          <w:sz w:val="24"/>
          <w:szCs w:val="24"/>
        </w:rPr>
        <w:t>Búza esetében né</w:t>
      </w:r>
      <w:r w:rsidR="00EB2977">
        <w:rPr>
          <w:rFonts w:cstheme="minorHAnsi"/>
          <w:sz w:val="24"/>
          <w:szCs w:val="24"/>
        </w:rPr>
        <w:t xml:space="preserve">mileg csökkent a 2012/13-as évre </w:t>
      </w:r>
      <w:r>
        <w:rPr>
          <w:rFonts w:cstheme="minorHAnsi"/>
          <w:sz w:val="24"/>
          <w:szCs w:val="24"/>
        </w:rPr>
        <w:t>számít</w:t>
      </w:r>
      <w:r w:rsidR="00EB2977">
        <w:rPr>
          <w:rFonts w:cstheme="minorHAnsi"/>
          <w:sz w:val="24"/>
          <w:szCs w:val="24"/>
        </w:rPr>
        <w:t>ott világpiaci készlet</w:t>
      </w:r>
      <w:r w:rsidR="006807C3">
        <w:rPr>
          <w:rFonts w:cstheme="minorHAnsi"/>
          <w:sz w:val="24"/>
          <w:szCs w:val="24"/>
        </w:rPr>
        <w:t xml:space="preserve">, amit a jelentős szerzői Argentína várható búzatermésének 0,5 millió tonnás csökkenésével magyaráznak. A heves decemberi esőzések miatt ti. </w:t>
      </w:r>
      <w:proofErr w:type="gramStart"/>
      <w:r w:rsidR="006807C3">
        <w:rPr>
          <w:rFonts w:cstheme="minorHAnsi"/>
          <w:sz w:val="24"/>
          <w:szCs w:val="24"/>
        </w:rPr>
        <w:t>megnőtt</w:t>
      </w:r>
      <w:proofErr w:type="gramEnd"/>
      <w:r w:rsidR="006807C3">
        <w:rPr>
          <w:rFonts w:cstheme="minorHAnsi"/>
          <w:sz w:val="24"/>
          <w:szCs w:val="24"/>
        </w:rPr>
        <w:t xml:space="preserve"> a betakarításra alkalmatlan területek aránya. Ezt a veszteséget némileg kompenzálja Oroszország összes búzatermésének 0,3 millió tonnára becsült növekedése. A várható export készlet alakulások szorosan követik a teljes világpiaci készlet alakulásának trendjét. Eszerint Argentína, Kanada és Ausztrália esetében csökkenésre, míg Oroszország és Ukrajna esetében növekedésre számítanak. Külön kiemelendő továbbá, hogy Irán esetében 0,2 millió tonna növekményt várnak az import mennyiségében.</w:t>
      </w:r>
    </w:p>
    <w:p w:rsidR="008A618D" w:rsidRDefault="008A618D" w:rsidP="00370326">
      <w:pPr>
        <w:jc w:val="both"/>
        <w:rPr>
          <w:rFonts w:cstheme="minorHAnsi"/>
          <w:sz w:val="24"/>
          <w:szCs w:val="24"/>
        </w:rPr>
      </w:pPr>
      <w:r>
        <w:rPr>
          <w:rFonts w:cstheme="minorHAnsi"/>
          <w:sz w:val="24"/>
          <w:szCs w:val="24"/>
        </w:rPr>
        <w:t xml:space="preserve">Az abraktakarmányok tekintetében </w:t>
      </w:r>
      <w:r w:rsidR="00DC4583">
        <w:rPr>
          <w:rFonts w:cstheme="minorHAnsi"/>
          <w:sz w:val="24"/>
          <w:szCs w:val="24"/>
        </w:rPr>
        <w:t xml:space="preserve">világszinten a készlet enyhe növekedésére számítanak 2012/13-ban. Decemberhez képest, amikor nagyjából változatlannak tekintette a becslés a készletet, nem sok változás történt, a kukoricára némileg növekvő, a </w:t>
      </w:r>
      <w:proofErr w:type="spellStart"/>
      <w:r w:rsidR="00DC4583">
        <w:rPr>
          <w:rFonts w:cstheme="minorHAnsi"/>
          <w:sz w:val="24"/>
          <w:szCs w:val="24"/>
        </w:rPr>
        <w:t>szemescirokra</w:t>
      </w:r>
      <w:proofErr w:type="spellEnd"/>
      <w:r w:rsidR="00DC4583">
        <w:rPr>
          <w:rFonts w:cstheme="minorHAnsi"/>
          <w:sz w:val="24"/>
          <w:szCs w:val="24"/>
        </w:rPr>
        <w:t xml:space="preserve"> pedig némileg csökkenő trendet vetítenek előre, ami lehetővé teszi a </w:t>
      </w:r>
      <w:proofErr w:type="gramStart"/>
      <w:r w:rsidR="00DC4583">
        <w:rPr>
          <w:rFonts w:cstheme="minorHAnsi"/>
          <w:sz w:val="24"/>
          <w:szCs w:val="24"/>
        </w:rPr>
        <w:t>kis mértékű</w:t>
      </w:r>
      <w:proofErr w:type="gramEnd"/>
      <w:r w:rsidR="00DC4583">
        <w:rPr>
          <w:rFonts w:cstheme="minorHAnsi"/>
          <w:sz w:val="24"/>
          <w:szCs w:val="24"/>
        </w:rPr>
        <w:t xml:space="preserve"> növekedést a készletben. Az előrejelzések növekvő tendenciát vetítenek előre a takarmányárpa és a zab készletalakulásában is.</w:t>
      </w:r>
    </w:p>
    <w:p w:rsidR="00F114F2" w:rsidRDefault="00DC4583" w:rsidP="00370326">
      <w:pPr>
        <w:jc w:val="both"/>
        <w:rPr>
          <w:rFonts w:cstheme="minorHAnsi"/>
          <w:sz w:val="24"/>
          <w:szCs w:val="24"/>
        </w:rPr>
      </w:pPr>
      <w:r>
        <w:rPr>
          <w:rFonts w:cstheme="minorHAnsi"/>
          <w:sz w:val="24"/>
          <w:szCs w:val="24"/>
        </w:rPr>
        <w:t xml:space="preserve">A globális kukorica felhasználás tekintetében kiemelendő, hogy a teljes igény elsősorban az Amerikai Egyesült Államok megnövekedett takarmány-szükséglete miatt 5,6 millió tonnára nőtt. </w:t>
      </w:r>
      <w:r w:rsidR="00785B66">
        <w:rPr>
          <w:rFonts w:cstheme="minorHAnsi"/>
          <w:sz w:val="24"/>
          <w:szCs w:val="24"/>
        </w:rPr>
        <w:t>Némileg emelkedett még Paraguay fogyasztása, Oroszország és Szerbia esetében viszont csökkenő trend figyelhető meg. A 2012/13-as globális zárókészletet a jelentés 1,6 millió tonnával kevesebbre becsüli az eddigiekhez képest, ezzel párhuzamosan viszont növekedést prognosztizál az USA, Brazília és Argentína zárókészletében.</w:t>
      </w:r>
    </w:p>
    <w:p w:rsidR="00F114F2" w:rsidRDefault="00C57E3B" w:rsidP="00F114F2">
      <w:pPr>
        <w:jc w:val="both"/>
        <w:rPr>
          <w:rFonts w:cstheme="minorHAnsi"/>
          <w:sz w:val="24"/>
          <w:szCs w:val="24"/>
        </w:rPr>
      </w:pPr>
      <w:r>
        <w:rPr>
          <w:rFonts w:cstheme="minorHAnsi"/>
          <w:sz w:val="24"/>
          <w:szCs w:val="24"/>
        </w:rPr>
        <w:t xml:space="preserve">Az </w:t>
      </w:r>
      <w:proofErr w:type="spellStart"/>
      <w:r>
        <w:rPr>
          <w:rFonts w:cstheme="minorHAnsi"/>
          <w:sz w:val="24"/>
          <w:szCs w:val="24"/>
        </w:rPr>
        <w:t>olajosmagvú</w:t>
      </w:r>
      <w:proofErr w:type="spellEnd"/>
      <w:r>
        <w:rPr>
          <w:rFonts w:cstheme="minorHAnsi"/>
          <w:sz w:val="24"/>
          <w:szCs w:val="24"/>
        </w:rPr>
        <w:t xml:space="preserve"> növényekből az USA 2012/13 évi termését 92,7 millió tonnára becsülik a tanulmány szerzői. A szójabab, a napaforgó és a földimogyoró esetében a terméseredmények növekedésére, míg repce és gyapot esetében csökkenésére számítanak. Világszinten 468,8 millió tonnára becsülik az </w:t>
      </w:r>
      <w:proofErr w:type="spellStart"/>
      <w:r>
        <w:rPr>
          <w:rFonts w:cstheme="minorHAnsi"/>
          <w:sz w:val="24"/>
          <w:szCs w:val="24"/>
        </w:rPr>
        <w:t>olajosmagvú</w:t>
      </w:r>
      <w:proofErr w:type="spellEnd"/>
      <w:r>
        <w:rPr>
          <w:rFonts w:cstheme="minorHAnsi"/>
          <w:sz w:val="24"/>
          <w:szCs w:val="24"/>
        </w:rPr>
        <w:t xml:space="preserve"> növények összes termésmennyiségét. Ebből 269,4 tonna a szójabab, e kultúra legnagyobb termelői pedig az </w:t>
      </w:r>
      <w:r>
        <w:rPr>
          <w:rFonts w:cstheme="minorHAnsi"/>
          <w:sz w:val="24"/>
          <w:szCs w:val="24"/>
        </w:rPr>
        <w:lastRenderedPageBreak/>
        <w:t>Egyesült Államok, Brazília és Argentína. Növekvő trendet jeleznek továbbá Kína és Ausztrália gyapot-, valamint India és az USA napraforgó-előállításában.</w:t>
      </w:r>
    </w:p>
    <w:p w:rsidR="005C77A0" w:rsidRDefault="005C77A0" w:rsidP="00F114F2">
      <w:pPr>
        <w:jc w:val="both"/>
        <w:rPr>
          <w:rFonts w:cstheme="minorHAnsi"/>
          <w:sz w:val="24"/>
          <w:szCs w:val="24"/>
        </w:rPr>
      </w:pPr>
    </w:p>
    <w:p w:rsidR="00F114F2" w:rsidRPr="005C77A0" w:rsidRDefault="00F114F2" w:rsidP="00F114F2">
      <w:pPr>
        <w:spacing w:after="0" w:line="240" w:lineRule="auto"/>
        <w:jc w:val="both"/>
        <w:rPr>
          <w:rFonts w:cstheme="minorHAnsi"/>
          <w:b/>
          <w:sz w:val="24"/>
          <w:szCs w:val="24"/>
        </w:rPr>
      </w:pPr>
      <w:r w:rsidRPr="005C77A0">
        <w:rPr>
          <w:rFonts w:cstheme="minorHAnsi"/>
          <w:b/>
          <w:sz w:val="24"/>
          <w:szCs w:val="24"/>
        </w:rPr>
        <w:t>1. Táblázat</w:t>
      </w:r>
    </w:p>
    <w:p w:rsidR="00F114F2" w:rsidRPr="005C77A0" w:rsidRDefault="00F114F2" w:rsidP="00F114F2">
      <w:pPr>
        <w:spacing w:after="0" w:line="240" w:lineRule="auto"/>
        <w:jc w:val="both"/>
        <w:rPr>
          <w:rFonts w:cstheme="minorHAnsi"/>
          <w:b/>
          <w:sz w:val="24"/>
          <w:szCs w:val="24"/>
        </w:rPr>
      </w:pPr>
      <w:r w:rsidRPr="005C77A0">
        <w:rPr>
          <w:rFonts w:cstheme="minorHAnsi"/>
          <w:b/>
          <w:sz w:val="24"/>
          <w:szCs w:val="24"/>
        </w:rPr>
        <w:t>A világ szemes termény előállításának megoszlása</w:t>
      </w:r>
      <w:r w:rsidR="00986C4D" w:rsidRPr="005C77A0">
        <w:rPr>
          <w:rFonts w:cstheme="minorHAnsi"/>
          <w:b/>
          <w:sz w:val="24"/>
          <w:szCs w:val="24"/>
        </w:rPr>
        <w:t xml:space="preserve"> millió tonnában</w:t>
      </w:r>
      <w:r w:rsidRPr="005C77A0">
        <w:rPr>
          <w:rFonts w:cstheme="minorHAnsi"/>
          <w:b/>
          <w:sz w:val="24"/>
          <w:szCs w:val="24"/>
        </w:rPr>
        <w:t>.</w:t>
      </w:r>
    </w:p>
    <w:tbl>
      <w:tblPr>
        <w:tblW w:w="7000" w:type="dxa"/>
        <w:tblInd w:w="61" w:type="dxa"/>
        <w:tblCellMar>
          <w:left w:w="70" w:type="dxa"/>
          <w:right w:w="70" w:type="dxa"/>
        </w:tblCellMar>
        <w:tblLook w:val="04A0"/>
      </w:tblPr>
      <w:tblGrid>
        <w:gridCol w:w="151"/>
        <w:gridCol w:w="150"/>
        <w:gridCol w:w="150"/>
        <w:gridCol w:w="150"/>
        <w:gridCol w:w="150"/>
        <w:gridCol w:w="150"/>
        <w:gridCol w:w="2101"/>
        <w:gridCol w:w="746"/>
        <w:gridCol w:w="805"/>
        <w:gridCol w:w="771"/>
        <w:gridCol w:w="1407"/>
        <w:gridCol w:w="1258"/>
        <w:gridCol w:w="1158"/>
      </w:tblGrid>
      <w:tr w:rsidR="00F114F2" w:rsidRPr="00F114F2" w:rsidTr="00F114F2">
        <w:trPr>
          <w:trHeight w:val="542"/>
        </w:trPr>
        <w:tc>
          <w:tcPr>
            <w:tcW w:w="3426" w:type="dxa"/>
            <w:gridSpan w:val="8"/>
            <w:tcBorders>
              <w:top w:val="double" w:sz="6" w:space="0" w:color="000000"/>
              <w:left w:val="nil"/>
              <w:bottom w:val="double" w:sz="6" w:space="0" w:color="000000"/>
              <w:right w:val="nil"/>
            </w:tcBorders>
            <w:shd w:val="clear" w:color="auto" w:fill="auto"/>
            <w:vAlign w:val="center"/>
            <w:hideMark/>
          </w:tcPr>
          <w:p w:rsidR="00F114F2" w:rsidRPr="00F114F2" w:rsidRDefault="00F114F2" w:rsidP="00F114F2">
            <w:pPr>
              <w:spacing w:after="0" w:line="240" w:lineRule="auto"/>
              <w:rPr>
                <w:rFonts w:eastAsia="Times New Roman" w:cs="Times New Roman"/>
                <w:b/>
                <w:bCs/>
                <w:color w:val="000000"/>
                <w:lang w:eastAsia="hu-HU"/>
              </w:rPr>
            </w:pPr>
          </w:p>
        </w:tc>
        <w:tc>
          <w:tcPr>
            <w:tcW w:w="704" w:type="dxa"/>
            <w:tcBorders>
              <w:top w:val="double" w:sz="6" w:space="0" w:color="000000"/>
              <w:left w:val="nil"/>
              <w:bottom w:val="double" w:sz="6" w:space="0" w:color="000000"/>
              <w:right w:val="nil"/>
            </w:tcBorders>
            <w:shd w:val="clear" w:color="auto" w:fill="auto"/>
            <w:vAlign w:val="bottom"/>
            <w:hideMark/>
          </w:tcPr>
          <w:p w:rsidR="00F114F2" w:rsidRPr="00F114F2" w:rsidRDefault="00986C4D" w:rsidP="00F114F2">
            <w:pPr>
              <w:spacing w:after="0" w:line="240" w:lineRule="auto"/>
              <w:jc w:val="right"/>
              <w:rPr>
                <w:rFonts w:eastAsia="Times New Roman" w:cs="Times New Roman"/>
                <w:color w:val="000000"/>
                <w:lang w:eastAsia="hu-HU"/>
              </w:rPr>
            </w:pPr>
            <w:r>
              <w:rPr>
                <w:rFonts w:eastAsia="Times New Roman" w:cs="Times New Roman"/>
                <w:color w:val="000000"/>
                <w:lang w:eastAsia="hu-HU"/>
              </w:rPr>
              <w:t>Termés</w:t>
            </w:r>
          </w:p>
        </w:tc>
        <w:tc>
          <w:tcPr>
            <w:tcW w:w="705" w:type="dxa"/>
            <w:tcBorders>
              <w:top w:val="double" w:sz="6" w:space="0" w:color="000000"/>
              <w:left w:val="nil"/>
              <w:bottom w:val="double" w:sz="6" w:space="0" w:color="000000"/>
              <w:right w:val="nil"/>
            </w:tcBorders>
            <w:shd w:val="clear" w:color="auto" w:fill="auto"/>
            <w:vAlign w:val="bottom"/>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br/>
            </w:r>
            <w:r w:rsidR="00986C4D">
              <w:rPr>
                <w:rFonts w:eastAsia="Times New Roman" w:cs="Times New Roman"/>
                <w:color w:val="000000"/>
                <w:lang w:eastAsia="hu-HU"/>
              </w:rPr>
              <w:t>Készlet</w:t>
            </w:r>
          </w:p>
        </w:tc>
        <w:tc>
          <w:tcPr>
            <w:tcW w:w="774" w:type="dxa"/>
            <w:tcBorders>
              <w:top w:val="double" w:sz="6" w:space="0" w:color="000000"/>
              <w:left w:val="nil"/>
              <w:bottom w:val="double" w:sz="6" w:space="0" w:color="000000"/>
              <w:right w:val="nil"/>
            </w:tcBorders>
            <w:shd w:val="clear" w:color="auto" w:fill="auto"/>
            <w:vAlign w:val="bottom"/>
            <w:hideMark/>
          </w:tcPr>
          <w:p w:rsidR="00F114F2" w:rsidRPr="00F114F2" w:rsidRDefault="00986C4D" w:rsidP="00F114F2">
            <w:pPr>
              <w:spacing w:after="0" w:line="240" w:lineRule="auto"/>
              <w:jc w:val="right"/>
              <w:rPr>
                <w:rFonts w:eastAsia="Times New Roman" w:cs="Times New Roman"/>
                <w:color w:val="000000"/>
                <w:lang w:eastAsia="hu-HU"/>
              </w:rPr>
            </w:pPr>
            <w:r>
              <w:rPr>
                <w:rFonts w:eastAsia="Times New Roman" w:cs="Times New Roman"/>
                <w:color w:val="000000"/>
                <w:lang w:eastAsia="hu-HU"/>
              </w:rPr>
              <w:t>Kereskedelem</w:t>
            </w:r>
          </w:p>
        </w:tc>
        <w:tc>
          <w:tcPr>
            <w:tcW w:w="703" w:type="dxa"/>
            <w:tcBorders>
              <w:top w:val="double" w:sz="6" w:space="0" w:color="000000"/>
              <w:left w:val="nil"/>
              <w:bottom w:val="double" w:sz="6" w:space="0" w:color="000000"/>
              <w:right w:val="nil"/>
            </w:tcBorders>
            <w:shd w:val="clear" w:color="auto" w:fill="auto"/>
            <w:vAlign w:val="bottom"/>
            <w:hideMark/>
          </w:tcPr>
          <w:p w:rsidR="00F114F2" w:rsidRPr="00F114F2" w:rsidRDefault="00986C4D" w:rsidP="00F114F2">
            <w:pPr>
              <w:spacing w:after="0" w:line="240" w:lineRule="auto"/>
              <w:jc w:val="right"/>
              <w:rPr>
                <w:rFonts w:eastAsia="Times New Roman" w:cs="Times New Roman"/>
                <w:color w:val="000000"/>
                <w:lang w:eastAsia="hu-HU"/>
              </w:rPr>
            </w:pPr>
            <w:r>
              <w:rPr>
                <w:rFonts w:eastAsia="Times New Roman" w:cs="Times New Roman"/>
                <w:color w:val="000000"/>
                <w:lang w:eastAsia="hu-HU"/>
              </w:rPr>
              <w:t>Felhasználás</w:t>
            </w:r>
          </w:p>
        </w:tc>
        <w:tc>
          <w:tcPr>
            <w:tcW w:w="688" w:type="dxa"/>
            <w:tcBorders>
              <w:top w:val="double" w:sz="6" w:space="0" w:color="000000"/>
              <w:left w:val="nil"/>
              <w:bottom w:val="double" w:sz="6" w:space="0" w:color="000000"/>
              <w:right w:val="nil"/>
            </w:tcBorders>
            <w:shd w:val="clear" w:color="auto" w:fill="auto"/>
            <w:vAlign w:val="bottom"/>
            <w:hideMark/>
          </w:tcPr>
          <w:p w:rsidR="00F114F2" w:rsidRPr="00F114F2" w:rsidRDefault="00986C4D" w:rsidP="00F114F2">
            <w:pPr>
              <w:spacing w:after="0" w:line="240" w:lineRule="auto"/>
              <w:jc w:val="right"/>
              <w:rPr>
                <w:rFonts w:eastAsia="Times New Roman" w:cs="Times New Roman"/>
                <w:color w:val="000000"/>
                <w:lang w:eastAsia="hu-HU"/>
              </w:rPr>
            </w:pPr>
            <w:r>
              <w:rPr>
                <w:rFonts w:eastAsia="Times New Roman" w:cs="Times New Roman"/>
                <w:color w:val="000000"/>
                <w:lang w:eastAsia="hu-HU"/>
              </w:rPr>
              <w:t>Zárókészlet</w:t>
            </w:r>
          </w:p>
        </w:tc>
      </w:tr>
      <w:tr w:rsidR="00986C4D" w:rsidRPr="00F114F2" w:rsidTr="00F114F2">
        <w:trPr>
          <w:trHeight w:val="271"/>
        </w:trPr>
        <w:tc>
          <w:tcPr>
            <w:tcW w:w="579" w:type="dxa"/>
            <w:gridSpan w:val="6"/>
            <w:tcBorders>
              <w:top w:val="double" w:sz="6" w:space="0" w:color="000000"/>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b/>
                <w:bCs/>
                <w:color w:val="000000"/>
                <w:lang w:eastAsia="hu-HU"/>
              </w:rPr>
            </w:pPr>
            <w:r w:rsidRPr="00F114F2">
              <w:rPr>
                <w:rFonts w:eastAsia="Times New Roman" w:cs="Times New Roman"/>
                <w:b/>
                <w:bCs/>
                <w:color w:val="000000"/>
                <w:lang w:eastAsia="hu-HU"/>
              </w:rPr>
              <w:t> </w:t>
            </w:r>
          </w:p>
        </w:tc>
        <w:tc>
          <w:tcPr>
            <w:tcW w:w="2101" w:type="dxa"/>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b/>
                <w:bCs/>
                <w:color w:val="000000"/>
                <w:lang w:eastAsia="hu-HU"/>
              </w:rPr>
            </w:pPr>
            <w:r w:rsidRPr="00F114F2">
              <w:rPr>
                <w:rFonts w:eastAsia="Times New Roman" w:cs="Times New Roman"/>
                <w:b/>
                <w:bCs/>
                <w:color w:val="000000"/>
                <w:lang w:eastAsia="hu-HU"/>
              </w:rPr>
              <w:t> </w:t>
            </w:r>
          </w:p>
        </w:tc>
        <w:tc>
          <w:tcPr>
            <w:tcW w:w="746" w:type="dxa"/>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b/>
                <w:bCs/>
                <w:color w:val="000000"/>
                <w:lang w:eastAsia="hu-HU"/>
              </w:rPr>
            </w:pPr>
            <w:r w:rsidRPr="00F114F2">
              <w:rPr>
                <w:rFonts w:eastAsia="Times New Roman" w:cs="Times New Roman"/>
                <w:b/>
                <w:bCs/>
                <w:color w:val="000000"/>
                <w:lang w:eastAsia="hu-HU"/>
              </w:rPr>
              <w:t> </w:t>
            </w:r>
          </w:p>
        </w:tc>
        <w:tc>
          <w:tcPr>
            <w:tcW w:w="704" w:type="dxa"/>
            <w:tcBorders>
              <w:top w:val="nil"/>
              <w:left w:val="nil"/>
              <w:bottom w:val="nil"/>
              <w:right w:val="nil"/>
            </w:tcBorders>
            <w:shd w:val="clear" w:color="auto" w:fill="auto"/>
            <w:vAlign w:val="bottom"/>
            <w:hideMark/>
          </w:tcPr>
          <w:p w:rsidR="00F114F2" w:rsidRPr="00F114F2" w:rsidRDefault="00F114F2" w:rsidP="00F114F2">
            <w:pPr>
              <w:bidi/>
              <w:spacing w:after="0" w:line="240" w:lineRule="auto"/>
              <w:rPr>
                <w:rFonts w:eastAsia="Times New Roman" w:cs="Times New Roman"/>
                <w:color w:val="000000"/>
                <w:lang w:eastAsia="hu-HU"/>
              </w:rPr>
            </w:pPr>
            <w:r w:rsidRPr="00F114F2">
              <w:rPr>
                <w:rFonts w:eastAsia="Times New Roman" w:cs="Times New Roman"/>
                <w:color w:val="000000"/>
                <w:rtl/>
                <w:lang w:eastAsia="hu-HU"/>
              </w:rPr>
              <w:t> </w:t>
            </w:r>
          </w:p>
        </w:tc>
        <w:tc>
          <w:tcPr>
            <w:tcW w:w="705" w:type="dxa"/>
            <w:tcBorders>
              <w:top w:val="nil"/>
              <w:left w:val="nil"/>
              <w:bottom w:val="nil"/>
              <w:right w:val="nil"/>
            </w:tcBorders>
            <w:shd w:val="clear" w:color="auto" w:fill="auto"/>
            <w:vAlign w:val="bottom"/>
            <w:hideMark/>
          </w:tcPr>
          <w:p w:rsidR="00F114F2" w:rsidRPr="00F114F2" w:rsidRDefault="00F114F2" w:rsidP="00F114F2">
            <w:pPr>
              <w:bidi/>
              <w:spacing w:after="0" w:line="240" w:lineRule="auto"/>
              <w:rPr>
                <w:rFonts w:eastAsia="Times New Roman" w:cs="Times New Roman"/>
                <w:color w:val="000000"/>
                <w:lang w:eastAsia="hu-HU"/>
              </w:rPr>
            </w:pPr>
            <w:r w:rsidRPr="00F114F2">
              <w:rPr>
                <w:rFonts w:eastAsia="Times New Roman" w:cs="Times New Roman"/>
                <w:color w:val="000000"/>
                <w:rtl/>
                <w:lang w:eastAsia="hu-HU"/>
              </w:rPr>
              <w:t> </w:t>
            </w:r>
          </w:p>
        </w:tc>
        <w:tc>
          <w:tcPr>
            <w:tcW w:w="774" w:type="dxa"/>
            <w:tcBorders>
              <w:top w:val="nil"/>
              <w:left w:val="nil"/>
              <w:bottom w:val="nil"/>
              <w:right w:val="nil"/>
            </w:tcBorders>
            <w:shd w:val="clear" w:color="auto" w:fill="auto"/>
            <w:vAlign w:val="bottom"/>
            <w:hideMark/>
          </w:tcPr>
          <w:p w:rsidR="00F114F2" w:rsidRPr="00F114F2" w:rsidRDefault="00F114F2" w:rsidP="00F114F2">
            <w:pPr>
              <w:bidi/>
              <w:spacing w:after="0" w:line="240" w:lineRule="auto"/>
              <w:rPr>
                <w:rFonts w:eastAsia="Times New Roman" w:cs="Times New Roman"/>
                <w:color w:val="000000"/>
                <w:lang w:eastAsia="hu-HU"/>
              </w:rPr>
            </w:pPr>
            <w:r w:rsidRPr="00F114F2">
              <w:rPr>
                <w:rFonts w:eastAsia="Times New Roman" w:cs="Times New Roman"/>
                <w:color w:val="000000"/>
                <w:rtl/>
                <w:lang w:eastAsia="hu-HU"/>
              </w:rPr>
              <w:t> </w:t>
            </w:r>
          </w:p>
        </w:tc>
        <w:tc>
          <w:tcPr>
            <w:tcW w:w="703" w:type="dxa"/>
            <w:tcBorders>
              <w:top w:val="nil"/>
              <w:left w:val="nil"/>
              <w:bottom w:val="nil"/>
              <w:right w:val="nil"/>
            </w:tcBorders>
            <w:shd w:val="clear" w:color="auto" w:fill="auto"/>
            <w:vAlign w:val="bottom"/>
            <w:hideMark/>
          </w:tcPr>
          <w:p w:rsidR="00F114F2" w:rsidRPr="00F114F2" w:rsidRDefault="00F114F2" w:rsidP="00F114F2">
            <w:pPr>
              <w:bidi/>
              <w:spacing w:after="0" w:line="240" w:lineRule="auto"/>
              <w:rPr>
                <w:rFonts w:eastAsia="Times New Roman" w:cs="Times New Roman"/>
                <w:color w:val="000000"/>
                <w:lang w:eastAsia="hu-HU"/>
              </w:rPr>
            </w:pPr>
            <w:r w:rsidRPr="00F114F2">
              <w:rPr>
                <w:rFonts w:eastAsia="Times New Roman" w:cs="Times New Roman"/>
                <w:color w:val="000000"/>
                <w:rtl/>
                <w:lang w:eastAsia="hu-HU"/>
              </w:rPr>
              <w:t> </w:t>
            </w:r>
          </w:p>
        </w:tc>
        <w:tc>
          <w:tcPr>
            <w:tcW w:w="688" w:type="dxa"/>
            <w:tcBorders>
              <w:top w:val="nil"/>
              <w:left w:val="nil"/>
              <w:bottom w:val="nil"/>
              <w:right w:val="nil"/>
            </w:tcBorders>
            <w:shd w:val="clear" w:color="auto" w:fill="auto"/>
            <w:vAlign w:val="bottom"/>
            <w:hideMark/>
          </w:tcPr>
          <w:p w:rsidR="00F114F2" w:rsidRPr="00F114F2" w:rsidRDefault="00F114F2" w:rsidP="00F114F2">
            <w:pPr>
              <w:bidi/>
              <w:spacing w:after="0" w:line="240" w:lineRule="auto"/>
              <w:rPr>
                <w:rFonts w:eastAsia="Times New Roman" w:cs="Times New Roman"/>
                <w:color w:val="000000"/>
                <w:lang w:eastAsia="hu-HU"/>
              </w:rPr>
            </w:pPr>
            <w:r w:rsidRPr="00F114F2">
              <w:rPr>
                <w:rFonts w:eastAsia="Times New Roman" w:cs="Times New Roman"/>
                <w:color w:val="000000"/>
                <w:rtl/>
                <w:lang w:eastAsia="hu-HU"/>
              </w:rPr>
              <w:t> </w:t>
            </w:r>
          </w:p>
        </w:tc>
      </w:tr>
      <w:tr w:rsidR="00986C4D" w:rsidRPr="00F114F2" w:rsidTr="00F114F2">
        <w:trPr>
          <w:trHeight w:val="255"/>
        </w:trPr>
        <w:tc>
          <w:tcPr>
            <w:tcW w:w="579" w:type="dxa"/>
            <w:gridSpan w:val="6"/>
            <w:tcBorders>
              <w:top w:val="nil"/>
              <w:left w:val="nil"/>
              <w:bottom w:val="nil"/>
              <w:right w:val="nil"/>
            </w:tcBorders>
            <w:shd w:val="clear" w:color="auto" w:fill="auto"/>
            <w:hideMark/>
          </w:tcPr>
          <w:p w:rsidR="00986C4D" w:rsidRPr="00F114F2" w:rsidRDefault="00986C4D" w:rsidP="00F114F2">
            <w:pPr>
              <w:spacing w:after="0" w:line="240" w:lineRule="auto"/>
              <w:rPr>
                <w:rFonts w:eastAsia="Times New Roman" w:cs="Times New Roman"/>
                <w:color w:val="000000"/>
                <w:lang w:eastAsia="hu-HU"/>
              </w:rPr>
            </w:pPr>
            <w:r>
              <w:rPr>
                <w:rFonts w:eastAsia="Times New Roman" w:cs="Times New Roman"/>
                <w:color w:val="000000"/>
                <w:lang w:eastAsia="hu-HU"/>
              </w:rPr>
              <w:t>Összes szemes termény</w:t>
            </w:r>
          </w:p>
        </w:tc>
        <w:tc>
          <w:tcPr>
            <w:tcW w:w="2101" w:type="dxa"/>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2010/11</w:t>
            </w:r>
          </w:p>
        </w:tc>
        <w:tc>
          <w:tcPr>
            <w:tcW w:w="746" w:type="dxa"/>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2200,9</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2692,9</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283,87</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2231,2</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461,75</w:t>
            </w:r>
          </w:p>
        </w:tc>
      </w:tr>
      <w:tr w:rsidR="00986C4D" w:rsidRPr="00F114F2" w:rsidTr="00F114F2">
        <w:trPr>
          <w:trHeight w:val="255"/>
        </w:trPr>
        <w:tc>
          <w:tcPr>
            <w:tcW w:w="579" w:type="dxa"/>
            <w:gridSpan w:val="6"/>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xml:space="preserve">2011/12 </w:t>
            </w:r>
          </w:p>
        </w:tc>
        <w:tc>
          <w:tcPr>
            <w:tcW w:w="746" w:type="dxa"/>
            <w:vMerge w:val="restart"/>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2315,9</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2777,6</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340,6</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2311,1</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466,54</w:t>
            </w:r>
          </w:p>
        </w:tc>
      </w:tr>
      <w:tr w:rsidR="00986C4D" w:rsidRPr="00F114F2" w:rsidTr="00F114F2">
        <w:trPr>
          <w:trHeight w:val="249"/>
        </w:trPr>
        <w:tc>
          <w:tcPr>
            <w:tcW w:w="579" w:type="dxa"/>
            <w:gridSpan w:val="6"/>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46" w:type="dxa"/>
            <w:vMerge/>
            <w:tcBorders>
              <w:top w:val="nil"/>
              <w:left w:val="nil"/>
              <w:bottom w:val="nil"/>
              <w:right w:val="double" w:sz="6" w:space="0" w:color="000000"/>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r>
      <w:tr w:rsidR="00986C4D" w:rsidRPr="00F114F2" w:rsidTr="00F114F2">
        <w:trPr>
          <w:trHeight w:val="255"/>
        </w:trPr>
        <w:tc>
          <w:tcPr>
            <w:tcW w:w="579" w:type="dxa"/>
            <w:gridSpan w:val="6"/>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tcBorders>
              <w:top w:val="nil"/>
              <w:left w:val="nil"/>
              <w:bottom w:val="nil"/>
              <w:right w:val="nil"/>
            </w:tcBorders>
            <w:shd w:val="clear" w:color="auto" w:fill="auto"/>
            <w:hideMark/>
          </w:tcPr>
          <w:p w:rsidR="00F114F2" w:rsidRPr="00F114F2" w:rsidRDefault="00986C4D" w:rsidP="00F114F2">
            <w:pPr>
              <w:spacing w:after="0" w:line="240" w:lineRule="auto"/>
              <w:rPr>
                <w:rFonts w:eastAsia="Times New Roman" w:cs="Times New Roman"/>
                <w:color w:val="000000"/>
                <w:lang w:eastAsia="hu-HU"/>
              </w:rPr>
            </w:pPr>
            <w:r>
              <w:rPr>
                <w:rFonts w:eastAsia="Times New Roman" w:cs="Times New Roman"/>
                <w:color w:val="000000"/>
                <w:lang w:eastAsia="hu-HU"/>
              </w:rPr>
              <w:t xml:space="preserve">2012/13 </w:t>
            </w:r>
            <w:r w:rsidR="00F114F2" w:rsidRPr="00F114F2">
              <w:rPr>
                <w:rFonts w:eastAsia="Times New Roman" w:cs="Times New Roman"/>
                <w:color w:val="000000"/>
                <w:lang w:eastAsia="hu-HU"/>
              </w:rPr>
              <w:t xml:space="preserve"> </w:t>
            </w:r>
          </w:p>
        </w:tc>
        <w:tc>
          <w:tcPr>
            <w:tcW w:w="746" w:type="dxa"/>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roofErr w:type="spellStart"/>
            <w:r w:rsidRPr="00F114F2">
              <w:rPr>
                <w:rFonts w:eastAsia="Times New Roman" w:cs="Times New Roman"/>
                <w:color w:val="000000"/>
                <w:lang w:eastAsia="hu-HU"/>
              </w:rPr>
              <w:t>Dec</w:t>
            </w:r>
            <w:proofErr w:type="spellEnd"/>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2239,4</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2705,6</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287,35</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2279,6</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425,95</w:t>
            </w:r>
          </w:p>
        </w:tc>
      </w:tr>
      <w:tr w:rsidR="00986C4D" w:rsidRPr="00F114F2" w:rsidTr="00F114F2">
        <w:trPr>
          <w:trHeight w:val="255"/>
        </w:trPr>
        <w:tc>
          <w:tcPr>
            <w:tcW w:w="579" w:type="dxa"/>
            <w:gridSpan w:val="6"/>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FFFFFF"/>
                <w:lang w:eastAsia="hu-HU"/>
              </w:rPr>
            </w:pPr>
            <w:r w:rsidRPr="00F114F2">
              <w:rPr>
                <w:rFonts w:eastAsia="Times New Roman" w:cs="Times New Roman"/>
                <w:color w:val="FFFFFF"/>
                <w:lang w:eastAsia="hu-HU"/>
              </w:rPr>
              <w:t>2012/13 (</w:t>
            </w:r>
            <w:proofErr w:type="spellStart"/>
            <w:r w:rsidRPr="00F114F2">
              <w:rPr>
                <w:rFonts w:eastAsia="Times New Roman" w:cs="Times New Roman"/>
                <w:color w:val="FFFFFF"/>
                <w:lang w:eastAsia="hu-HU"/>
              </w:rPr>
              <w:t>Proj</w:t>
            </w:r>
            <w:proofErr w:type="spellEnd"/>
            <w:r w:rsidRPr="00F114F2">
              <w:rPr>
                <w:rFonts w:eastAsia="Times New Roman" w:cs="Times New Roman"/>
                <w:color w:val="FFFFFF"/>
                <w:lang w:eastAsia="hu-HU"/>
              </w:rPr>
              <w:t xml:space="preserve">.) </w:t>
            </w:r>
          </w:p>
        </w:tc>
        <w:tc>
          <w:tcPr>
            <w:tcW w:w="746" w:type="dxa"/>
            <w:vMerge w:val="restart"/>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Jan</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2241,1</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2707,6</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285,66</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2284,3</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423,33</w:t>
            </w:r>
          </w:p>
        </w:tc>
      </w:tr>
      <w:tr w:rsidR="00986C4D" w:rsidRPr="00F114F2" w:rsidTr="00F114F2">
        <w:trPr>
          <w:trHeight w:val="249"/>
        </w:trPr>
        <w:tc>
          <w:tcPr>
            <w:tcW w:w="579" w:type="dxa"/>
            <w:gridSpan w:val="6"/>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FFFFFF"/>
                <w:lang w:eastAsia="hu-HU"/>
              </w:rPr>
            </w:pPr>
          </w:p>
        </w:tc>
        <w:tc>
          <w:tcPr>
            <w:tcW w:w="746" w:type="dxa"/>
            <w:vMerge/>
            <w:tcBorders>
              <w:top w:val="nil"/>
              <w:left w:val="nil"/>
              <w:bottom w:val="nil"/>
              <w:right w:val="double" w:sz="6" w:space="0" w:color="000000"/>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r>
      <w:tr w:rsidR="00986C4D" w:rsidRPr="00F114F2" w:rsidTr="00F114F2">
        <w:trPr>
          <w:trHeight w:val="255"/>
        </w:trPr>
        <w:tc>
          <w:tcPr>
            <w:tcW w:w="579" w:type="dxa"/>
            <w:gridSpan w:val="6"/>
            <w:tcBorders>
              <w:top w:val="nil"/>
              <w:left w:val="nil"/>
              <w:bottom w:val="nil"/>
              <w:right w:val="nil"/>
            </w:tcBorders>
            <w:shd w:val="clear" w:color="auto" w:fill="auto"/>
            <w:hideMark/>
          </w:tcPr>
          <w:p w:rsidR="00F114F2" w:rsidRPr="00F114F2" w:rsidRDefault="00986C4D" w:rsidP="00F114F2">
            <w:pPr>
              <w:spacing w:after="0" w:line="240" w:lineRule="auto"/>
              <w:rPr>
                <w:rFonts w:eastAsia="Times New Roman" w:cs="Times New Roman"/>
                <w:color w:val="000000"/>
                <w:lang w:eastAsia="hu-HU"/>
              </w:rPr>
            </w:pPr>
            <w:r>
              <w:rPr>
                <w:rFonts w:eastAsia="Times New Roman" w:cs="Times New Roman"/>
                <w:color w:val="000000"/>
                <w:lang w:eastAsia="hu-HU"/>
              </w:rPr>
              <w:t>Búza</w:t>
            </w:r>
          </w:p>
        </w:tc>
        <w:tc>
          <w:tcPr>
            <w:tcW w:w="2101" w:type="dxa"/>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2010/11</w:t>
            </w:r>
          </w:p>
        </w:tc>
        <w:tc>
          <w:tcPr>
            <w:tcW w:w="746" w:type="dxa"/>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652,24</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852,51</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132,48</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654,74</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197,77</w:t>
            </w:r>
          </w:p>
        </w:tc>
      </w:tr>
      <w:tr w:rsidR="00986C4D" w:rsidRPr="00F114F2" w:rsidTr="00F114F2">
        <w:trPr>
          <w:trHeight w:val="255"/>
        </w:trPr>
        <w:tc>
          <w:tcPr>
            <w:tcW w:w="579" w:type="dxa"/>
            <w:gridSpan w:val="6"/>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xml:space="preserve">2011/12 </w:t>
            </w:r>
          </w:p>
        </w:tc>
        <w:tc>
          <w:tcPr>
            <w:tcW w:w="746" w:type="dxa"/>
            <w:vMerge w:val="restart"/>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696,44</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894,21</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157,65</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698,44</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195,78</w:t>
            </w:r>
          </w:p>
        </w:tc>
      </w:tr>
      <w:tr w:rsidR="00986C4D" w:rsidRPr="00F114F2" w:rsidTr="00F114F2">
        <w:trPr>
          <w:trHeight w:val="249"/>
        </w:trPr>
        <w:tc>
          <w:tcPr>
            <w:tcW w:w="579" w:type="dxa"/>
            <w:gridSpan w:val="6"/>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46" w:type="dxa"/>
            <w:vMerge/>
            <w:tcBorders>
              <w:top w:val="nil"/>
              <w:left w:val="nil"/>
              <w:bottom w:val="nil"/>
              <w:right w:val="double" w:sz="6" w:space="0" w:color="000000"/>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r>
      <w:tr w:rsidR="00986C4D" w:rsidRPr="00F114F2" w:rsidTr="00F114F2">
        <w:trPr>
          <w:trHeight w:val="255"/>
        </w:trPr>
        <w:tc>
          <w:tcPr>
            <w:tcW w:w="579" w:type="dxa"/>
            <w:gridSpan w:val="6"/>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xml:space="preserve">2012/13 </w:t>
            </w:r>
          </w:p>
        </w:tc>
        <w:tc>
          <w:tcPr>
            <w:tcW w:w="746" w:type="dxa"/>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roofErr w:type="spellStart"/>
            <w:r w:rsidRPr="00F114F2">
              <w:rPr>
                <w:rFonts w:eastAsia="Times New Roman" w:cs="Times New Roman"/>
                <w:color w:val="000000"/>
                <w:lang w:eastAsia="hu-HU"/>
              </w:rPr>
              <w:t>Dec</w:t>
            </w:r>
            <w:proofErr w:type="spellEnd"/>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655,11</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850,88</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132,77</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673,93</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176,95</w:t>
            </w:r>
          </w:p>
        </w:tc>
      </w:tr>
      <w:tr w:rsidR="00986C4D" w:rsidRPr="00F114F2" w:rsidTr="00F114F2">
        <w:trPr>
          <w:trHeight w:val="255"/>
        </w:trPr>
        <w:tc>
          <w:tcPr>
            <w:tcW w:w="579" w:type="dxa"/>
            <w:gridSpan w:val="6"/>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FFFFFF"/>
                <w:lang w:eastAsia="hu-HU"/>
              </w:rPr>
            </w:pPr>
            <w:r w:rsidRPr="00F114F2">
              <w:rPr>
                <w:rFonts w:eastAsia="Times New Roman" w:cs="Times New Roman"/>
                <w:color w:val="FFFFFF"/>
                <w:lang w:eastAsia="hu-HU"/>
              </w:rPr>
              <w:t>2012/13 (</w:t>
            </w:r>
            <w:proofErr w:type="spellStart"/>
            <w:r w:rsidRPr="00F114F2">
              <w:rPr>
                <w:rFonts w:eastAsia="Times New Roman" w:cs="Times New Roman"/>
                <w:color w:val="FFFFFF"/>
                <w:lang w:eastAsia="hu-HU"/>
              </w:rPr>
              <w:t>Proj</w:t>
            </w:r>
            <w:proofErr w:type="spellEnd"/>
            <w:r w:rsidRPr="00F114F2">
              <w:rPr>
                <w:rFonts w:eastAsia="Times New Roman" w:cs="Times New Roman"/>
                <w:color w:val="FFFFFF"/>
                <w:lang w:eastAsia="hu-HU"/>
              </w:rPr>
              <w:t xml:space="preserve">.) </w:t>
            </w:r>
          </w:p>
        </w:tc>
        <w:tc>
          <w:tcPr>
            <w:tcW w:w="746" w:type="dxa"/>
            <w:vMerge w:val="restart"/>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Jan</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654,31</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850,09</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131,97</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673,45</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176,64</w:t>
            </w:r>
          </w:p>
        </w:tc>
      </w:tr>
      <w:tr w:rsidR="00986C4D" w:rsidRPr="00F114F2" w:rsidTr="00F114F2">
        <w:trPr>
          <w:trHeight w:val="249"/>
        </w:trPr>
        <w:tc>
          <w:tcPr>
            <w:tcW w:w="579" w:type="dxa"/>
            <w:gridSpan w:val="6"/>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FFFFFF"/>
                <w:lang w:eastAsia="hu-HU"/>
              </w:rPr>
            </w:pPr>
          </w:p>
        </w:tc>
        <w:tc>
          <w:tcPr>
            <w:tcW w:w="746" w:type="dxa"/>
            <w:vMerge/>
            <w:tcBorders>
              <w:top w:val="nil"/>
              <w:left w:val="nil"/>
              <w:bottom w:val="nil"/>
              <w:right w:val="double" w:sz="6" w:space="0" w:color="000000"/>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r>
      <w:tr w:rsidR="00986C4D" w:rsidRPr="00F114F2" w:rsidTr="00F114F2">
        <w:trPr>
          <w:trHeight w:val="255"/>
        </w:trPr>
        <w:tc>
          <w:tcPr>
            <w:tcW w:w="579" w:type="dxa"/>
            <w:gridSpan w:val="6"/>
            <w:tcBorders>
              <w:top w:val="nil"/>
              <w:left w:val="nil"/>
              <w:bottom w:val="nil"/>
              <w:right w:val="nil"/>
            </w:tcBorders>
            <w:shd w:val="clear" w:color="auto" w:fill="auto"/>
            <w:hideMark/>
          </w:tcPr>
          <w:p w:rsidR="00F114F2" w:rsidRPr="00F114F2" w:rsidRDefault="00986C4D" w:rsidP="00F114F2">
            <w:pPr>
              <w:spacing w:after="0" w:line="240" w:lineRule="auto"/>
              <w:rPr>
                <w:rFonts w:eastAsia="Times New Roman" w:cs="Times New Roman"/>
                <w:color w:val="000000"/>
                <w:lang w:eastAsia="hu-HU"/>
              </w:rPr>
            </w:pPr>
            <w:r>
              <w:rPr>
                <w:rFonts w:eastAsia="Times New Roman" w:cs="Times New Roman"/>
                <w:color w:val="000000"/>
                <w:lang w:eastAsia="hu-HU"/>
              </w:rPr>
              <w:t xml:space="preserve">Abrak </w:t>
            </w:r>
            <w:proofErr w:type="spellStart"/>
            <w:r>
              <w:rPr>
                <w:rFonts w:eastAsia="Times New Roman" w:cs="Times New Roman"/>
                <w:color w:val="000000"/>
                <w:lang w:eastAsia="hu-HU"/>
              </w:rPr>
              <w:t>tak</w:t>
            </w:r>
            <w:proofErr w:type="spellEnd"/>
            <w:r>
              <w:rPr>
                <w:rFonts w:eastAsia="Times New Roman" w:cs="Times New Roman"/>
                <w:color w:val="000000"/>
                <w:lang w:eastAsia="hu-HU"/>
              </w:rPr>
              <w:t>.</w:t>
            </w:r>
          </w:p>
        </w:tc>
        <w:tc>
          <w:tcPr>
            <w:tcW w:w="2101" w:type="dxa"/>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2010/11</w:t>
            </w:r>
          </w:p>
        </w:tc>
        <w:tc>
          <w:tcPr>
            <w:tcW w:w="746" w:type="dxa"/>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1099,3</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1295,9</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116,49</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1130,6</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165,33</w:t>
            </w:r>
          </w:p>
        </w:tc>
      </w:tr>
      <w:tr w:rsidR="00986C4D" w:rsidRPr="00F114F2" w:rsidTr="00F114F2">
        <w:trPr>
          <w:trHeight w:val="255"/>
        </w:trPr>
        <w:tc>
          <w:tcPr>
            <w:tcW w:w="579" w:type="dxa"/>
            <w:gridSpan w:val="6"/>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xml:space="preserve">2011/12 (Est.) </w:t>
            </w:r>
          </w:p>
        </w:tc>
        <w:tc>
          <w:tcPr>
            <w:tcW w:w="746" w:type="dxa"/>
            <w:vMerge w:val="restart"/>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1154,4</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1319,7</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143,91</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1154,5</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165,26</w:t>
            </w:r>
          </w:p>
        </w:tc>
      </w:tr>
      <w:tr w:rsidR="00986C4D" w:rsidRPr="00F114F2" w:rsidTr="00F114F2">
        <w:trPr>
          <w:trHeight w:val="249"/>
        </w:trPr>
        <w:tc>
          <w:tcPr>
            <w:tcW w:w="579" w:type="dxa"/>
            <w:gridSpan w:val="6"/>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46" w:type="dxa"/>
            <w:vMerge/>
            <w:tcBorders>
              <w:top w:val="nil"/>
              <w:left w:val="nil"/>
              <w:bottom w:val="nil"/>
              <w:right w:val="double" w:sz="6" w:space="0" w:color="000000"/>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r>
      <w:tr w:rsidR="00986C4D" w:rsidRPr="00F114F2" w:rsidTr="00F114F2">
        <w:trPr>
          <w:trHeight w:val="255"/>
        </w:trPr>
        <w:tc>
          <w:tcPr>
            <w:tcW w:w="579" w:type="dxa"/>
            <w:gridSpan w:val="6"/>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2012/13 (</w:t>
            </w:r>
            <w:proofErr w:type="spellStart"/>
            <w:r w:rsidRPr="00F114F2">
              <w:rPr>
                <w:rFonts w:eastAsia="Times New Roman" w:cs="Times New Roman"/>
                <w:color w:val="000000"/>
                <w:lang w:eastAsia="hu-HU"/>
              </w:rPr>
              <w:t>Proj</w:t>
            </w:r>
            <w:proofErr w:type="spellEnd"/>
            <w:r w:rsidRPr="00F114F2">
              <w:rPr>
                <w:rFonts w:eastAsia="Times New Roman" w:cs="Times New Roman"/>
                <w:color w:val="000000"/>
                <w:lang w:eastAsia="hu-HU"/>
              </w:rPr>
              <w:t xml:space="preserve">.) </w:t>
            </w:r>
          </w:p>
        </w:tc>
        <w:tc>
          <w:tcPr>
            <w:tcW w:w="746" w:type="dxa"/>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roofErr w:type="spellStart"/>
            <w:r w:rsidRPr="00F114F2">
              <w:rPr>
                <w:rFonts w:eastAsia="Times New Roman" w:cs="Times New Roman"/>
                <w:color w:val="000000"/>
                <w:lang w:eastAsia="hu-HU"/>
              </w:rPr>
              <w:t>Dec</w:t>
            </w:r>
            <w:proofErr w:type="spellEnd"/>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1119</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1283,6</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118</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1137,2</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146,46</w:t>
            </w:r>
          </w:p>
        </w:tc>
      </w:tr>
      <w:tr w:rsidR="00986C4D" w:rsidRPr="00F114F2" w:rsidTr="00F114F2">
        <w:trPr>
          <w:trHeight w:val="255"/>
        </w:trPr>
        <w:tc>
          <w:tcPr>
            <w:tcW w:w="579" w:type="dxa"/>
            <w:gridSpan w:val="6"/>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FFFFFF"/>
                <w:lang w:eastAsia="hu-HU"/>
              </w:rPr>
            </w:pPr>
            <w:r w:rsidRPr="00F114F2">
              <w:rPr>
                <w:rFonts w:eastAsia="Times New Roman" w:cs="Times New Roman"/>
                <w:color w:val="FFFFFF"/>
                <w:lang w:eastAsia="hu-HU"/>
              </w:rPr>
              <w:t>2012/13 (</w:t>
            </w:r>
            <w:proofErr w:type="spellStart"/>
            <w:r w:rsidRPr="00F114F2">
              <w:rPr>
                <w:rFonts w:eastAsia="Times New Roman" w:cs="Times New Roman"/>
                <w:color w:val="FFFFFF"/>
                <w:lang w:eastAsia="hu-HU"/>
              </w:rPr>
              <w:t>Proj</w:t>
            </w:r>
            <w:proofErr w:type="spellEnd"/>
            <w:r w:rsidRPr="00F114F2">
              <w:rPr>
                <w:rFonts w:eastAsia="Times New Roman" w:cs="Times New Roman"/>
                <w:color w:val="FFFFFF"/>
                <w:lang w:eastAsia="hu-HU"/>
              </w:rPr>
              <w:t xml:space="preserve">.) </w:t>
            </w:r>
          </w:p>
        </w:tc>
        <w:tc>
          <w:tcPr>
            <w:tcW w:w="746" w:type="dxa"/>
            <w:vMerge w:val="restart"/>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Jan</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1121,2</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1286,5</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115,97</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1142,3</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144,21</w:t>
            </w:r>
          </w:p>
        </w:tc>
      </w:tr>
      <w:tr w:rsidR="00986C4D" w:rsidRPr="00F114F2" w:rsidTr="00F114F2">
        <w:trPr>
          <w:trHeight w:val="249"/>
        </w:trPr>
        <w:tc>
          <w:tcPr>
            <w:tcW w:w="579" w:type="dxa"/>
            <w:gridSpan w:val="6"/>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FFFFFF"/>
                <w:lang w:eastAsia="hu-HU"/>
              </w:rPr>
            </w:pPr>
          </w:p>
        </w:tc>
        <w:tc>
          <w:tcPr>
            <w:tcW w:w="746" w:type="dxa"/>
            <w:vMerge/>
            <w:tcBorders>
              <w:top w:val="nil"/>
              <w:left w:val="nil"/>
              <w:bottom w:val="nil"/>
              <w:right w:val="double" w:sz="6" w:space="0" w:color="000000"/>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r>
      <w:tr w:rsidR="00986C4D" w:rsidRPr="00F114F2" w:rsidTr="00F114F2">
        <w:trPr>
          <w:trHeight w:val="255"/>
        </w:trPr>
        <w:tc>
          <w:tcPr>
            <w:tcW w:w="579" w:type="dxa"/>
            <w:gridSpan w:val="6"/>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Ri</w:t>
            </w:r>
            <w:r w:rsidR="00986C4D">
              <w:rPr>
                <w:rFonts w:eastAsia="Times New Roman" w:cs="Times New Roman"/>
                <w:color w:val="000000"/>
                <w:lang w:eastAsia="hu-HU"/>
              </w:rPr>
              <w:t>zs</w:t>
            </w:r>
          </w:p>
        </w:tc>
        <w:tc>
          <w:tcPr>
            <w:tcW w:w="2101" w:type="dxa"/>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2010/11</w:t>
            </w:r>
          </w:p>
        </w:tc>
        <w:tc>
          <w:tcPr>
            <w:tcW w:w="746" w:type="dxa"/>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449,3</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544,49</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34,9</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445,84</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98,65</w:t>
            </w:r>
          </w:p>
        </w:tc>
      </w:tr>
      <w:tr w:rsidR="00986C4D" w:rsidRPr="00F114F2" w:rsidTr="00F114F2">
        <w:trPr>
          <w:trHeight w:val="255"/>
        </w:trPr>
        <w:tc>
          <w:tcPr>
            <w:tcW w:w="579" w:type="dxa"/>
            <w:gridSpan w:val="6"/>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xml:space="preserve">2011/12 (Est.) </w:t>
            </w:r>
          </w:p>
        </w:tc>
        <w:tc>
          <w:tcPr>
            <w:tcW w:w="746" w:type="dxa"/>
            <w:vMerge w:val="restart"/>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 </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465,02</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563,67</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39,03</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458,16</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105,5</w:t>
            </w:r>
          </w:p>
        </w:tc>
      </w:tr>
      <w:tr w:rsidR="00986C4D" w:rsidRPr="00F114F2" w:rsidTr="00F114F2">
        <w:trPr>
          <w:trHeight w:val="249"/>
        </w:trPr>
        <w:tc>
          <w:tcPr>
            <w:tcW w:w="579" w:type="dxa"/>
            <w:gridSpan w:val="6"/>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46" w:type="dxa"/>
            <w:vMerge/>
            <w:tcBorders>
              <w:top w:val="nil"/>
              <w:left w:val="nil"/>
              <w:bottom w:val="nil"/>
              <w:right w:val="double" w:sz="6" w:space="0" w:color="000000"/>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r>
      <w:tr w:rsidR="00986C4D" w:rsidRPr="00F114F2" w:rsidTr="00F114F2">
        <w:trPr>
          <w:trHeight w:val="255"/>
        </w:trPr>
        <w:tc>
          <w:tcPr>
            <w:tcW w:w="579" w:type="dxa"/>
            <w:gridSpan w:val="6"/>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2012/13 (</w:t>
            </w:r>
            <w:proofErr w:type="spellStart"/>
            <w:r w:rsidRPr="00F114F2">
              <w:rPr>
                <w:rFonts w:eastAsia="Times New Roman" w:cs="Times New Roman"/>
                <w:color w:val="000000"/>
                <w:lang w:eastAsia="hu-HU"/>
              </w:rPr>
              <w:t>Proj</w:t>
            </w:r>
            <w:proofErr w:type="spellEnd"/>
            <w:r w:rsidRPr="00F114F2">
              <w:rPr>
                <w:rFonts w:eastAsia="Times New Roman" w:cs="Times New Roman"/>
                <w:color w:val="000000"/>
                <w:lang w:eastAsia="hu-HU"/>
              </w:rPr>
              <w:t xml:space="preserve">.) </w:t>
            </w:r>
          </w:p>
        </w:tc>
        <w:tc>
          <w:tcPr>
            <w:tcW w:w="746" w:type="dxa"/>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roofErr w:type="spellStart"/>
            <w:r w:rsidRPr="00F114F2">
              <w:rPr>
                <w:rFonts w:eastAsia="Times New Roman" w:cs="Times New Roman"/>
                <w:color w:val="000000"/>
                <w:lang w:eastAsia="hu-HU"/>
              </w:rPr>
              <w:t>Dec</w:t>
            </w:r>
            <w:proofErr w:type="spellEnd"/>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465,34</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571,04</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36,58</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468,51</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102,54</w:t>
            </w:r>
          </w:p>
        </w:tc>
      </w:tr>
      <w:tr w:rsidR="00986C4D" w:rsidRPr="00F114F2" w:rsidTr="00F114F2">
        <w:trPr>
          <w:trHeight w:val="255"/>
        </w:trPr>
        <w:tc>
          <w:tcPr>
            <w:tcW w:w="579" w:type="dxa"/>
            <w:gridSpan w:val="6"/>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val="restart"/>
            <w:tcBorders>
              <w:top w:val="nil"/>
              <w:left w:val="nil"/>
              <w:bottom w:val="nil"/>
              <w:right w:val="nil"/>
            </w:tcBorders>
            <w:shd w:val="clear" w:color="auto" w:fill="auto"/>
            <w:hideMark/>
          </w:tcPr>
          <w:p w:rsidR="00F114F2" w:rsidRPr="00F114F2" w:rsidRDefault="00F114F2" w:rsidP="00F114F2">
            <w:pPr>
              <w:spacing w:after="0" w:line="240" w:lineRule="auto"/>
              <w:rPr>
                <w:rFonts w:eastAsia="Times New Roman" w:cs="Times New Roman"/>
                <w:color w:val="FFFFFF"/>
                <w:lang w:eastAsia="hu-HU"/>
              </w:rPr>
            </w:pPr>
            <w:r w:rsidRPr="00F114F2">
              <w:rPr>
                <w:rFonts w:eastAsia="Times New Roman" w:cs="Times New Roman"/>
                <w:color w:val="FFFFFF"/>
                <w:lang w:eastAsia="hu-HU"/>
              </w:rPr>
              <w:t>2012/13 (</w:t>
            </w:r>
            <w:proofErr w:type="spellStart"/>
            <w:r w:rsidRPr="00F114F2">
              <w:rPr>
                <w:rFonts w:eastAsia="Times New Roman" w:cs="Times New Roman"/>
                <w:color w:val="FFFFFF"/>
                <w:lang w:eastAsia="hu-HU"/>
              </w:rPr>
              <w:t>Proj</w:t>
            </w:r>
            <w:proofErr w:type="spellEnd"/>
            <w:r w:rsidRPr="00F114F2">
              <w:rPr>
                <w:rFonts w:eastAsia="Times New Roman" w:cs="Times New Roman"/>
                <w:color w:val="FFFFFF"/>
                <w:lang w:eastAsia="hu-HU"/>
              </w:rPr>
              <w:t xml:space="preserve">.) </w:t>
            </w:r>
          </w:p>
        </w:tc>
        <w:tc>
          <w:tcPr>
            <w:tcW w:w="746" w:type="dxa"/>
            <w:vMerge w:val="restart"/>
            <w:tcBorders>
              <w:top w:val="nil"/>
              <w:left w:val="nil"/>
              <w:bottom w:val="nil"/>
              <w:right w:val="double" w:sz="6" w:space="0" w:color="000000"/>
            </w:tcBorders>
            <w:shd w:val="clear" w:color="auto" w:fill="auto"/>
            <w:hideMark/>
          </w:tcPr>
          <w:p w:rsidR="00F114F2" w:rsidRPr="00F114F2" w:rsidRDefault="00F114F2" w:rsidP="00F114F2">
            <w:pPr>
              <w:spacing w:after="0" w:line="240" w:lineRule="auto"/>
              <w:rPr>
                <w:rFonts w:eastAsia="Times New Roman" w:cs="Times New Roman"/>
                <w:color w:val="000000"/>
                <w:lang w:eastAsia="hu-HU"/>
              </w:rPr>
            </w:pPr>
            <w:r w:rsidRPr="00F114F2">
              <w:rPr>
                <w:rFonts w:eastAsia="Times New Roman" w:cs="Times New Roman"/>
                <w:color w:val="000000"/>
                <w:lang w:eastAsia="hu-HU"/>
              </w:rPr>
              <w:t>Jan</w:t>
            </w: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465,55</w:t>
            </w:r>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571,06</w:t>
            </w:r>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37,73</w:t>
            </w:r>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468,58</w:t>
            </w:r>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000000"/>
                <w:lang w:eastAsia="hu-HU"/>
              </w:rPr>
            </w:pPr>
            <w:r w:rsidRPr="00F114F2">
              <w:rPr>
                <w:rFonts w:eastAsia="Times New Roman" w:cs="Times New Roman"/>
                <w:color w:val="000000"/>
                <w:lang w:eastAsia="hu-HU"/>
              </w:rPr>
              <w:t>102,48</w:t>
            </w:r>
          </w:p>
        </w:tc>
      </w:tr>
      <w:tr w:rsidR="00986C4D" w:rsidRPr="00F114F2" w:rsidTr="00F114F2">
        <w:trPr>
          <w:trHeight w:val="249"/>
        </w:trPr>
        <w:tc>
          <w:tcPr>
            <w:tcW w:w="579" w:type="dxa"/>
            <w:gridSpan w:val="6"/>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2101" w:type="dxa"/>
            <w:vMerge/>
            <w:tcBorders>
              <w:top w:val="nil"/>
              <w:left w:val="nil"/>
              <w:bottom w:val="nil"/>
              <w:right w:val="nil"/>
            </w:tcBorders>
            <w:vAlign w:val="center"/>
            <w:hideMark/>
          </w:tcPr>
          <w:p w:rsidR="00F114F2" w:rsidRPr="00F114F2" w:rsidRDefault="00F114F2" w:rsidP="00F114F2">
            <w:pPr>
              <w:spacing w:after="0" w:line="240" w:lineRule="auto"/>
              <w:rPr>
                <w:rFonts w:eastAsia="Times New Roman" w:cs="Times New Roman"/>
                <w:color w:val="FFFFFF"/>
                <w:lang w:eastAsia="hu-HU"/>
              </w:rPr>
            </w:pPr>
          </w:p>
        </w:tc>
        <w:tc>
          <w:tcPr>
            <w:tcW w:w="746" w:type="dxa"/>
            <w:vMerge/>
            <w:tcBorders>
              <w:top w:val="nil"/>
              <w:left w:val="nil"/>
              <w:bottom w:val="nil"/>
              <w:right w:val="double" w:sz="6" w:space="0" w:color="000000"/>
            </w:tcBorders>
            <w:vAlign w:val="center"/>
            <w:hideMark/>
          </w:tcPr>
          <w:p w:rsidR="00F114F2" w:rsidRPr="00F114F2" w:rsidRDefault="00F114F2" w:rsidP="00F114F2">
            <w:pPr>
              <w:spacing w:after="0" w:line="240" w:lineRule="auto"/>
              <w:rPr>
                <w:rFonts w:eastAsia="Times New Roman" w:cs="Times New Roman"/>
                <w:color w:val="000000"/>
                <w:lang w:eastAsia="hu-HU"/>
              </w:rPr>
            </w:pPr>
          </w:p>
        </w:tc>
        <w:tc>
          <w:tcPr>
            <w:tcW w:w="70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5"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74"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703"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c>
          <w:tcPr>
            <w:tcW w:w="688" w:type="dxa"/>
            <w:tcBorders>
              <w:top w:val="nil"/>
              <w:left w:val="nil"/>
              <w:bottom w:val="nil"/>
              <w:right w:val="nil"/>
            </w:tcBorders>
            <w:shd w:val="clear" w:color="auto" w:fill="auto"/>
            <w:hideMark/>
          </w:tcPr>
          <w:p w:rsidR="00F114F2" w:rsidRPr="00F114F2" w:rsidRDefault="00F114F2" w:rsidP="00F114F2">
            <w:pPr>
              <w:spacing w:after="0" w:line="240" w:lineRule="auto"/>
              <w:jc w:val="right"/>
              <w:rPr>
                <w:rFonts w:eastAsia="Times New Roman" w:cs="Times New Roman"/>
                <w:color w:val="FFFFFF"/>
                <w:lang w:eastAsia="hu-HU"/>
              </w:rPr>
            </w:pPr>
            <w:proofErr w:type="spellStart"/>
            <w:r w:rsidRPr="00F114F2">
              <w:rPr>
                <w:rFonts w:eastAsia="Times New Roman" w:cs="Times New Roman"/>
                <w:color w:val="FFFFFF"/>
                <w:lang w:eastAsia="hu-HU"/>
              </w:rPr>
              <w:t>filler</w:t>
            </w:r>
            <w:proofErr w:type="spellEnd"/>
          </w:p>
        </w:tc>
      </w:tr>
      <w:tr w:rsidR="00986C4D" w:rsidRPr="00F114F2" w:rsidTr="00F114F2">
        <w:trPr>
          <w:trHeight w:val="260"/>
        </w:trPr>
        <w:tc>
          <w:tcPr>
            <w:tcW w:w="121"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109"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99"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89"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83"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78"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2101"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746"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704"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705"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774"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703"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c>
          <w:tcPr>
            <w:tcW w:w="688" w:type="dxa"/>
            <w:tcBorders>
              <w:top w:val="nil"/>
              <w:left w:val="nil"/>
              <w:bottom w:val="nil"/>
              <w:right w:val="nil"/>
            </w:tcBorders>
            <w:shd w:val="clear" w:color="auto" w:fill="auto"/>
            <w:noWrap/>
            <w:vAlign w:val="bottom"/>
            <w:hideMark/>
          </w:tcPr>
          <w:p w:rsidR="00F114F2" w:rsidRPr="00F114F2" w:rsidRDefault="00F114F2" w:rsidP="00F114F2">
            <w:pPr>
              <w:spacing w:after="0" w:line="240" w:lineRule="auto"/>
              <w:rPr>
                <w:rFonts w:eastAsia="Times New Roman" w:cs="Arial"/>
                <w:lang w:eastAsia="hu-HU"/>
              </w:rPr>
            </w:pPr>
          </w:p>
        </w:tc>
      </w:tr>
    </w:tbl>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3D5013" w:rsidRDefault="003D5013" w:rsidP="005C77A0">
      <w:pPr>
        <w:spacing w:after="0" w:line="240" w:lineRule="auto"/>
        <w:jc w:val="both"/>
        <w:rPr>
          <w:rFonts w:cstheme="minorHAnsi"/>
          <w:b/>
          <w:sz w:val="24"/>
          <w:szCs w:val="24"/>
        </w:rPr>
      </w:pPr>
    </w:p>
    <w:p w:rsidR="00C57E3B" w:rsidRPr="005C77A0" w:rsidRDefault="005C77A0" w:rsidP="005C77A0">
      <w:pPr>
        <w:spacing w:after="0" w:line="240" w:lineRule="auto"/>
        <w:jc w:val="both"/>
        <w:rPr>
          <w:rFonts w:cstheme="minorHAnsi"/>
          <w:b/>
          <w:sz w:val="24"/>
          <w:szCs w:val="24"/>
        </w:rPr>
      </w:pPr>
      <w:r w:rsidRPr="005C77A0">
        <w:rPr>
          <w:rFonts w:cstheme="minorHAnsi"/>
          <w:b/>
          <w:sz w:val="24"/>
          <w:szCs w:val="24"/>
        </w:rPr>
        <w:lastRenderedPageBreak/>
        <w:t>2. Táblázat</w:t>
      </w:r>
    </w:p>
    <w:p w:rsidR="005C77A0" w:rsidRPr="005C77A0" w:rsidRDefault="005C77A0" w:rsidP="005C77A0">
      <w:pPr>
        <w:spacing w:after="0" w:line="240" w:lineRule="auto"/>
        <w:jc w:val="both"/>
        <w:rPr>
          <w:rFonts w:cstheme="minorHAnsi"/>
          <w:b/>
          <w:sz w:val="24"/>
          <w:szCs w:val="24"/>
        </w:rPr>
      </w:pPr>
      <w:r w:rsidRPr="005C77A0">
        <w:rPr>
          <w:rFonts w:cstheme="minorHAnsi"/>
          <w:b/>
          <w:sz w:val="24"/>
          <w:szCs w:val="24"/>
        </w:rPr>
        <w:t>A világ kukoricatermelése és –felhasználása a 2012/13-as gazdasági évben millió tonnában.</w:t>
      </w:r>
    </w:p>
    <w:tbl>
      <w:tblPr>
        <w:tblW w:w="8920" w:type="dxa"/>
        <w:tblInd w:w="61" w:type="dxa"/>
        <w:tblCellMar>
          <w:left w:w="70" w:type="dxa"/>
          <w:right w:w="70" w:type="dxa"/>
        </w:tblCellMar>
        <w:tblLook w:val="04A0"/>
      </w:tblPr>
      <w:tblGrid>
        <w:gridCol w:w="1721"/>
        <w:gridCol w:w="478"/>
        <w:gridCol w:w="1024"/>
        <w:gridCol w:w="1127"/>
        <w:gridCol w:w="840"/>
        <w:gridCol w:w="980"/>
        <w:gridCol w:w="980"/>
        <w:gridCol w:w="811"/>
        <w:gridCol w:w="959"/>
      </w:tblGrid>
      <w:tr w:rsidR="005C77A0" w:rsidRPr="005C77A0" w:rsidTr="005C77A0">
        <w:trPr>
          <w:trHeight w:val="542"/>
        </w:trPr>
        <w:tc>
          <w:tcPr>
            <w:tcW w:w="2600" w:type="dxa"/>
            <w:gridSpan w:val="2"/>
            <w:tcBorders>
              <w:top w:val="double" w:sz="6" w:space="0" w:color="000000"/>
              <w:left w:val="nil"/>
              <w:bottom w:val="double" w:sz="6" w:space="0" w:color="000000"/>
              <w:right w:val="nil"/>
            </w:tcBorders>
            <w:shd w:val="clear" w:color="auto" w:fill="auto"/>
            <w:vAlign w:val="center"/>
            <w:hideMark/>
          </w:tcPr>
          <w:p w:rsidR="005C77A0" w:rsidRPr="005C77A0" w:rsidRDefault="005C77A0" w:rsidP="005C77A0">
            <w:pPr>
              <w:spacing w:after="0" w:line="240" w:lineRule="auto"/>
              <w:rPr>
                <w:rFonts w:eastAsia="Times New Roman" w:cs="Times New Roman"/>
                <w:b/>
                <w:bCs/>
                <w:color w:val="000000"/>
                <w:lang w:eastAsia="hu-HU"/>
              </w:rPr>
            </w:pPr>
          </w:p>
        </w:tc>
        <w:tc>
          <w:tcPr>
            <w:tcW w:w="960" w:type="dxa"/>
            <w:tcBorders>
              <w:top w:val="double" w:sz="6" w:space="0" w:color="000000"/>
              <w:left w:val="nil"/>
              <w:bottom w:val="double" w:sz="6" w:space="0" w:color="000000"/>
              <w:right w:val="nil"/>
            </w:tcBorders>
            <w:shd w:val="clear" w:color="auto" w:fill="auto"/>
            <w:vAlign w:val="bottom"/>
            <w:hideMark/>
          </w:tcPr>
          <w:p w:rsidR="005C77A0" w:rsidRPr="005C77A0" w:rsidRDefault="005C77A0" w:rsidP="005C77A0">
            <w:pPr>
              <w:spacing w:after="0" w:line="240" w:lineRule="auto"/>
              <w:jc w:val="right"/>
              <w:rPr>
                <w:rFonts w:eastAsia="Times New Roman" w:cs="Times New Roman"/>
                <w:color w:val="000000"/>
                <w:lang w:eastAsia="hu-HU"/>
              </w:rPr>
            </w:pPr>
            <w:proofErr w:type="spellStart"/>
            <w:r w:rsidRPr="005C77A0">
              <w:rPr>
                <w:rFonts w:eastAsia="Times New Roman" w:cs="Times New Roman"/>
                <w:color w:val="000000"/>
                <w:lang w:eastAsia="hu-HU"/>
              </w:rPr>
              <w:t>Beginning</w:t>
            </w:r>
            <w:proofErr w:type="spellEnd"/>
            <w:r w:rsidRPr="005C77A0">
              <w:rPr>
                <w:rFonts w:eastAsia="Times New Roman" w:cs="Times New Roman"/>
                <w:color w:val="000000"/>
                <w:lang w:eastAsia="hu-HU"/>
              </w:rPr>
              <w:br/>
            </w:r>
            <w:proofErr w:type="spellStart"/>
            <w:r w:rsidRPr="005C77A0">
              <w:rPr>
                <w:rFonts w:eastAsia="Times New Roman" w:cs="Times New Roman"/>
                <w:color w:val="000000"/>
                <w:lang w:eastAsia="hu-HU"/>
              </w:rPr>
              <w:t>Stocks</w:t>
            </w:r>
            <w:proofErr w:type="spellEnd"/>
          </w:p>
        </w:tc>
        <w:tc>
          <w:tcPr>
            <w:tcW w:w="1020" w:type="dxa"/>
            <w:tcBorders>
              <w:top w:val="double" w:sz="6" w:space="0" w:color="000000"/>
              <w:left w:val="nil"/>
              <w:bottom w:val="double" w:sz="6" w:space="0" w:color="000000"/>
              <w:right w:val="nil"/>
            </w:tcBorders>
            <w:shd w:val="clear" w:color="auto" w:fill="auto"/>
            <w:vAlign w:val="bottom"/>
            <w:hideMark/>
          </w:tcPr>
          <w:p w:rsidR="005C77A0" w:rsidRPr="005C77A0" w:rsidRDefault="005C77A0" w:rsidP="005C77A0">
            <w:pPr>
              <w:spacing w:after="0" w:line="240" w:lineRule="auto"/>
              <w:jc w:val="right"/>
              <w:rPr>
                <w:rFonts w:eastAsia="Times New Roman" w:cs="Times New Roman"/>
                <w:color w:val="000000"/>
                <w:lang w:eastAsia="hu-HU"/>
              </w:rPr>
            </w:pPr>
            <w:proofErr w:type="spellStart"/>
            <w:r w:rsidRPr="005C77A0">
              <w:rPr>
                <w:rFonts w:eastAsia="Times New Roman" w:cs="Times New Roman"/>
                <w:color w:val="000000"/>
                <w:lang w:eastAsia="hu-HU"/>
              </w:rPr>
              <w:t>Production</w:t>
            </w:r>
            <w:proofErr w:type="spellEnd"/>
          </w:p>
        </w:tc>
        <w:tc>
          <w:tcPr>
            <w:tcW w:w="740" w:type="dxa"/>
            <w:tcBorders>
              <w:top w:val="double" w:sz="6" w:space="0" w:color="000000"/>
              <w:left w:val="nil"/>
              <w:bottom w:val="double" w:sz="6" w:space="0" w:color="000000"/>
              <w:right w:val="nil"/>
            </w:tcBorders>
            <w:shd w:val="clear" w:color="auto" w:fill="auto"/>
            <w:vAlign w:val="bottom"/>
            <w:hideMark/>
          </w:tcPr>
          <w:p w:rsidR="005C77A0" w:rsidRPr="005C77A0" w:rsidRDefault="005C77A0" w:rsidP="005C77A0">
            <w:pPr>
              <w:spacing w:after="0" w:line="240" w:lineRule="auto"/>
              <w:jc w:val="right"/>
              <w:rPr>
                <w:rFonts w:eastAsia="Times New Roman" w:cs="Times New Roman"/>
                <w:color w:val="000000"/>
                <w:lang w:eastAsia="hu-HU"/>
              </w:rPr>
            </w:pPr>
            <w:proofErr w:type="spellStart"/>
            <w:r w:rsidRPr="005C77A0">
              <w:rPr>
                <w:rFonts w:eastAsia="Times New Roman" w:cs="Times New Roman"/>
                <w:color w:val="000000"/>
                <w:lang w:eastAsia="hu-HU"/>
              </w:rPr>
              <w:t>Imports</w:t>
            </w:r>
            <w:proofErr w:type="spellEnd"/>
          </w:p>
        </w:tc>
        <w:tc>
          <w:tcPr>
            <w:tcW w:w="880" w:type="dxa"/>
            <w:tcBorders>
              <w:top w:val="double" w:sz="6" w:space="0" w:color="000000"/>
              <w:left w:val="nil"/>
              <w:bottom w:val="double" w:sz="6" w:space="0" w:color="000000"/>
              <w:right w:val="nil"/>
            </w:tcBorders>
            <w:shd w:val="clear" w:color="auto" w:fill="auto"/>
            <w:vAlign w:val="bottom"/>
            <w:hideMark/>
          </w:tcPr>
          <w:p w:rsidR="005C77A0" w:rsidRPr="005C77A0" w:rsidRDefault="005C77A0" w:rsidP="005C77A0">
            <w:pPr>
              <w:spacing w:after="0" w:line="240" w:lineRule="auto"/>
              <w:jc w:val="right"/>
              <w:rPr>
                <w:rFonts w:eastAsia="Times New Roman" w:cs="Times New Roman"/>
                <w:color w:val="000000"/>
                <w:lang w:eastAsia="hu-HU"/>
              </w:rPr>
            </w:pPr>
            <w:proofErr w:type="spellStart"/>
            <w:r w:rsidRPr="005C77A0">
              <w:rPr>
                <w:rFonts w:eastAsia="Times New Roman" w:cs="Times New Roman"/>
                <w:color w:val="000000"/>
                <w:lang w:eastAsia="hu-HU"/>
              </w:rPr>
              <w:t>Domestic</w:t>
            </w:r>
            <w:proofErr w:type="spellEnd"/>
            <w:r w:rsidRPr="005C77A0">
              <w:rPr>
                <w:rFonts w:eastAsia="Times New Roman" w:cs="Times New Roman"/>
                <w:color w:val="000000"/>
                <w:lang w:eastAsia="hu-HU"/>
              </w:rPr>
              <w:br/>
            </w:r>
            <w:proofErr w:type="spellStart"/>
            <w:r w:rsidRPr="005C77A0">
              <w:rPr>
                <w:rFonts w:eastAsia="Times New Roman" w:cs="Times New Roman"/>
                <w:color w:val="000000"/>
                <w:lang w:eastAsia="hu-HU"/>
              </w:rPr>
              <w:t>Feed</w:t>
            </w:r>
            <w:proofErr w:type="spellEnd"/>
          </w:p>
        </w:tc>
        <w:tc>
          <w:tcPr>
            <w:tcW w:w="880" w:type="dxa"/>
            <w:tcBorders>
              <w:top w:val="double" w:sz="6" w:space="0" w:color="000000"/>
              <w:left w:val="nil"/>
              <w:bottom w:val="double" w:sz="6" w:space="0" w:color="000000"/>
              <w:right w:val="nil"/>
            </w:tcBorders>
            <w:shd w:val="clear" w:color="auto" w:fill="auto"/>
            <w:vAlign w:val="bottom"/>
            <w:hideMark/>
          </w:tcPr>
          <w:p w:rsidR="005C77A0" w:rsidRPr="005C77A0" w:rsidRDefault="005C77A0" w:rsidP="005C77A0">
            <w:pPr>
              <w:spacing w:after="0" w:line="240" w:lineRule="auto"/>
              <w:jc w:val="right"/>
              <w:rPr>
                <w:rFonts w:eastAsia="Times New Roman" w:cs="Times New Roman"/>
                <w:color w:val="000000"/>
                <w:lang w:eastAsia="hu-HU"/>
              </w:rPr>
            </w:pPr>
            <w:proofErr w:type="spellStart"/>
            <w:r w:rsidRPr="005C77A0">
              <w:rPr>
                <w:rFonts w:eastAsia="Times New Roman" w:cs="Times New Roman"/>
                <w:color w:val="000000"/>
                <w:lang w:eastAsia="hu-HU"/>
              </w:rPr>
              <w:t>Domestic</w:t>
            </w:r>
            <w:proofErr w:type="spellEnd"/>
            <w:r w:rsidRPr="005C77A0">
              <w:rPr>
                <w:rFonts w:eastAsia="Times New Roman" w:cs="Times New Roman"/>
                <w:color w:val="000000"/>
                <w:lang w:eastAsia="hu-HU"/>
              </w:rPr>
              <w:br/>
              <w:t>Total 2/</w:t>
            </w:r>
          </w:p>
        </w:tc>
        <w:tc>
          <w:tcPr>
            <w:tcW w:w="720" w:type="dxa"/>
            <w:tcBorders>
              <w:top w:val="double" w:sz="6" w:space="0" w:color="000000"/>
              <w:left w:val="nil"/>
              <w:bottom w:val="double" w:sz="6" w:space="0" w:color="000000"/>
              <w:right w:val="nil"/>
            </w:tcBorders>
            <w:shd w:val="clear" w:color="auto" w:fill="auto"/>
            <w:vAlign w:val="bottom"/>
            <w:hideMark/>
          </w:tcPr>
          <w:p w:rsidR="005C77A0" w:rsidRPr="005C77A0" w:rsidRDefault="005C77A0" w:rsidP="005C77A0">
            <w:pPr>
              <w:spacing w:after="0" w:line="240" w:lineRule="auto"/>
              <w:jc w:val="right"/>
              <w:rPr>
                <w:rFonts w:eastAsia="Times New Roman" w:cs="Times New Roman"/>
                <w:color w:val="000000"/>
                <w:lang w:eastAsia="hu-HU"/>
              </w:rPr>
            </w:pPr>
            <w:proofErr w:type="spellStart"/>
            <w:r w:rsidRPr="005C77A0">
              <w:rPr>
                <w:rFonts w:eastAsia="Times New Roman" w:cs="Times New Roman"/>
                <w:color w:val="000000"/>
                <w:lang w:eastAsia="hu-HU"/>
              </w:rPr>
              <w:t>Exports</w:t>
            </w:r>
            <w:proofErr w:type="spellEnd"/>
          </w:p>
        </w:tc>
        <w:tc>
          <w:tcPr>
            <w:tcW w:w="1120" w:type="dxa"/>
            <w:tcBorders>
              <w:top w:val="double" w:sz="6" w:space="0" w:color="000000"/>
              <w:left w:val="nil"/>
              <w:bottom w:val="double" w:sz="6" w:space="0" w:color="000000"/>
              <w:right w:val="nil"/>
            </w:tcBorders>
            <w:shd w:val="clear" w:color="auto" w:fill="auto"/>
            <w:vAlign w:val="bottom"/>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Ending</w:t>
            </w:r>
            <w:r w:rsidRPr="005C77A0">
              <w:rPr>
                <w:rFonts w:eastAsia="Times New Roman" w:cs="Times New Roman"/>
                <w:color w:val="000000"/>
                <w:lang w:eastAsia="hu-HU"/>
              </w:rPr>
              <w:br/>
            </w:r>
            <w:proofErr w:type="spellStart"/>
            <w:r w:rsidRPr="005C77A0">
              <w:rPr>
                <w:rFonts w:eastAsia="Times New Roman" w:cs="Times New Roman"/>
                <w:color w:val="000000"/>
                <w:lang w:eastAsia="hu-HU"/>
              </w:rPr>
              <w:t>Stocks</w:t>
            </w:r>
            <w:proofErr w:type="spellEnd"/>
          </w:p>
        </w:tc>
      </w:tr>
      <w:tr w:rsidR="005C77A0" w:rsidRPr="005C77A0" w:rsidTr="005C77A0">
        <w:trPr>
          <w:trHeight w:val="314"/>
        </w:trPr>
        <w:tc>
          <w:tcPr>
            <w:tcW w:w="2160" w:type="dxa"/>
            <w:tcBorders>
              <w:top w:val="double" w:sz="6" w:space="0" w:color="000000"/>
              <w:left w:val="nil"/>
              <w:bottom w:val="nil"/>
              <w:right w:val="nil"/>
            </w:tcBorders>
            <w:shd w:val="clear" w:color="auto" w:fill="auto"/>
            <w:vAlign w:val="bottom"/>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w:t>
            </w:r>
          </w:p>
        </w:tc>
        <w:tc>
          <w:tcPr>
            <w:tcW w:w="440" w:type="dxa"/>
            <w:tcBorders>
              <w:top w:val="nil"/>
              <w:left w:val="nil"/>
              <w:bottom w:val="nil"/>
              <w:right w:val="double" w:sz="6" w:space="0" w:color="000000"/>
            </w:tcBorders>
            <w:shd w:val="clear" w:color="auto" w:fill="auto"/>
            <w:vAlign w:val="bottom"/>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w:t>
            </w:r>
          </w:p>
        </w:tc>
        <w:tc>
          <w:tcPr>
            <w:tcW w:w="960" w:type="dxa"/>
            <w:tcBorders>
              <w:top w:val="nil"/>
              <w:left w:val="nil"/>
              <w:bottom w:val="nil"/>
              <w:right w:val="nil"/>
            </w:tcBorders>
            <w:shd w:val="clear" w:color="auto" w:fill="auto"/>
            <w:vAlign w:val="bottom"/>
            <w:hideMark/>
          </w:tcPr>
          <w:p w:rsidR="005C77A0" w:rsidRPr="005C77A0" w:rsidRDefault="005C77A0" w:rsidP="005C77A0">
            <w:pPr>
              <w:bidi/>
              <w:spacing w:after="0" w:line="240" w:lineRule="auto"/>
              <w:jc w:val="center"/>
              <w:rPr>
                <w:rFonts w:eastAsia="Times New Roman" w:cs="Times New Roman"/>
                <w:color w:val="FFFFFF"/>
                <w:lang w:eastAsia="hu-HU"/>
              </w:rPr>
            </w:pPr>
          </w:p>
        </w:tc>
        <w:tc>
          <w:tcPr>
            <w:tcW w:w="1020" w:type="dxa"/>
            <w:tcBorders>
              <w:top w:val="nil"/>
              <w:left w:val="nil"/>
              <w:bottom w:val="nil"/>
              <w:right w:val="nil"/>
            </w:tcBorders>
            <w:shd w:val="clear" w:color="auto" w:fill="auto"/>
            <w:vAlign w:val="bottom"/>
            <w:hideMark/>
          </w:tcPr>
          <w:p w:rsidR="005C77A0" w:rsidRPr="005C77A0" w:rsidRDefault="005C77A0" w:rsidP="005C77A0">
            <w:pPr>
              <w:bidi/>
              <w:spacing w:after="0" w:line="240" w:lineRule="auto"/>
              <w:jc w:val="center"/>
              <w:rPr>
                <w:rFonts w:eastAsia="Times New Roman" w:cs="Times New Roman"/>
                <w:color w:val="FFFFFF"/>
                <w:lang w:eastAsia="hu-HU"/>
              </w:rPr>
            </w:pPr>
          </w:p>
        </w:tc>
        <w:tc>
          <w:tcPr>
            <w:tcW w:w="740" w:type="dxa"/>
            <w:tcBorders>
              <w:top w:val="nil"/>
              <w:left w:val="nil"/>
              <w:bottom w:val="nil"/>
              <w:right w:val="nil"/>
            </w:tcBorders>
            <w:shd w:val="clear" w:color="auto" w:fill="auto"/>
            <w:vAlign w:val="bottom"/>
            <w:hideMark/>
          </w:tcPr>
          <w:p w:rsidR="005C77A0" w:rsidRPr="005C77A0" w:rsidRDefault="005C77A0" w:rsidP="005C77A0">
            <w:pPr>
              <w:bidi/>
              <w:spacing w:after="0" w:line="240" w:lineRule="auto"/>
              <w:jc w:val="center"/>
              <w:rPr>
                <w:rFonts w:eastAsia="Times New Roman" w:cs="Times New Roman"/>
                <w:color w:val="FFFFFF"/>
                <w:lang w:eastAsia="hu-HU"/>
              </w:rPr>
            </w:pPr>
          </w:p>
        </w:tc>
        <w:tc>
          <w:tcPr>
            <w:tcW w:w="880" w:type="dxa"/>
            <w:tcBorders>
              <w:top w:val="nil"/>
              <w:left w:val="nil"/>
              <w:bottom w:val="nil"/>
              <w:right w:val="nil"/>
            </w:tcBorders>
            <w:shd w:val="clear" w:color="auto" w:fill="auto"/>
            <w:vAlign w:val="bottom"/>
            <w:hideMark/>
          </w:tcPr>
          <w:p w:rsidR="005C77A0" w:rsidRPr="005C77A0" w:rsidRDefault="005C77A0" w:rsidP="005C77A0">
            <w:pPr>
              <w:bidi/>
              <w:spacing w:after="0" w:line="240" w:lineRule="auto"/>
              <w:jc w:val="center"/>
              <w:rPr>
                <w:rFonts w:eastAsia="Times New Roman" w:cs="Times New Roman"/>
                <w:color w:val="FFFFFF"/>
                <w:lang w:eastAsia="hu-HU"/>
              </w:rPr>
            </w:pPr>
          </w:p>
        </w:tc>
        <w:tc>
          <w:tcPr>
            <w:tcW w:w="880" w:type="dxa"/>
            <w:tcBorders>
              <w:top w:val="nil"/>
              <w:left w:val="nil"/>
              <w:bottom w:val="nil"/>
              <w:right w:val="nil"/>
            </w:tcBorders>
            <w:shd w:val="clear" w:color="auto" w:fill="auto"/>
            <w:vAlign w:val="bottom"/>
            <w:hideMark/>
          </w:tcPr>
          <w:p w:rsidR="005C77A0" w:rsidRPr="005C77A0" w:rsidRDefault="005C77A0" w:rsidP="005C77A0">
            <w:pPr>
              <w:bidi/>
              <w:spacing w:after="0" w:line="240" w:lineRule="auto"/>
              <w:jc w:val="center"/>
              <w:rPr>
                <w:rFonts w:eastAsia="Times New Roman" w:cs="Times New Roman"/>
                <w:color w:val="FFFFFF"/>
                <w:lang w:eastAsia="hu-HU"/>
              </w:rPr>
            </w:pPr>
          </w:p>
        </w:tc>
        <w:tc>
          <w:tcPr>
            <w:tcW w:w="720" w:type="dxa"/>
            <w:tcBorders>
              <w:top w:val="nil"/>
              <w:left w:val="nil"/>
              <w:bottom w:val="nil"/>
              <w:right w:val="nil"/>
            </w:tcBorders>
            <w:shd w:val="clear" w:color="auto" w:fill="auto"/>
            <w:vAlign w:val="bottom"/>
            <w:hideMark/>
          </w:tcPr>
          <w:p w:rsidR="005C77A0" w:rsidRPr="005C77A0" w:rsidRDefault="005C77A0" w:rsidP="005C77A0">
            <w:pPr>
              <w:bidi/>
              <w:spacing w:after="0" w:line="240" w:lineRule="auto"/>
              <w:jc w:val="center"/>
              <w:rPr>
                <w:rFonts w:eastAsia="Times New Roman" w:cs="Times New Roman"/>
                <w:color w:val="FFFFFF"/>
                <w:lang w:eastAsia="hu-HU"/>
              </w:rPr>
            </w:pPr>
          </w:p>
        </w:tc>
        <w:tc>
          <w:tcPr>
            <w:tcW w:w="1120" w:type="dxa"/>
            <w:tcBorders>
              <w:top w:val="double" w:sz="6" w:space="0" w:color="000000"/>
              <w:left w:val="nil"/>
              <w:bottom w:val="nil"/>
              <w:right w:val="nil"/>
            </w:tcBorders>
            <w:shd w:val="clear" w:color="auto" w:fill="auto"/>
            <w:vAlign w:val="bottom"/>
            <w:hideMark/>
          </w:tcPr>
          <w:p w:rsidR="005C77A0" w:rsidRPr="005C77A0" w:rsidRDefault="005C77A0" w:rsidP="005C77A0">
            <w:pPr>
              <w:bidi/>
              <w:spacing w:after="0" w:line="240" w:lineRule="auto"/>
              <w:jc w:val="center"/>
              <w:rPr>
                <w:rFonts w:eastAsia="Times New Roman" w:cs="Times New Roman"/>
                <w:color w:val="FFFFFF"/>
                <w:lang w:eastAsia="hu-HU"/>
              </w:rPr>
            </w:pPr>
            <w:r w:rsidRPr="005C77A0">
              <w:rPr>
                <w:rFonts w:eastAsia="Times New Roman" w:cs="Times New Roman"/>
                <w:color w:val="FFFFFF"/>
                <w:rtl/>
                <w:lang w:eastAsia="hu-HU"/>
              </w:rPr>
              <w:t> </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3D5013" w:rsidP="005C77A0">
            <w:pPr>
              <w:spacing w:after="0" w:line="240" w:lineRule="auto"/>
              <w:rPr>
                <w:rFonts w:eastAsia="Times New Roman" w:cs="Times New Roman"/>
                <w:color w:val="000000"/>
                <w:lang w:eastAsia="hu-HU"/>
              </w:rPr>
            </w:pPr>
            <w:r>
              <w:rPr>
                <w:rFonts w:eastAsia="Times New Roman" w:cs="Times New Roman"/>
                <w:color w:val="000000"/>
                <w:lang w:eastAsia="hu-HU"/>
              </w:rPr>
              <w:t>Világ</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131,04</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849,09</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95,32</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514,74</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862,52</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91,25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117,61</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131,79</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852,3</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95,52</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521,71</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868,11</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89,77</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115,99</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U</w:t>
            </w:r>
            <w:r w:rsidR="003D5013">
              <w:rPr>
                <w:rFonts w:eastAsia="Times New Roman" w:cs="Times New Roman"/>
                <w:color w:val="000000"/>
                <w:lang w:eastAsia="hu-HU"/>
              </w:rPr>
              <w:t>SA</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25,11</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272,43</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2,54</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105,42</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254,44</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29,21</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16,42</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25,12</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273,83</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2,54</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113,04</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262,06</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24,13</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15,3</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3D5013" w:rsidP="005C77A0">
            <w:pPr>
              <w:spacing w:after="0" w:line="240" w:lineRule="auto"/>
              <w:rPr>
                <w:rFonts w:eastAsia="Times New Roman" w:cs="Times New Roman"/>
                <w:color w:val="000000"/>
                <w:lang w:eastAsia="hu-HU"/>
              </w:rPr>
            </w:pPr>
            <w:r>
              <w:rPr>
                <w:rFonts w:eastAsia="Times New Roman" w:cs="Times New Roman"/>
                <w:color w:val="000000"/>
                <w:lang w:eastAsia="hu-HU"/>
              </w:rPr>
              <w:t>Külföld</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105,93</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576,66</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92,78</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409,33</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608,07</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62,04</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101,19</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106,66</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578,47</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92,98</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408,68</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606,04</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65,64</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100,69</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w:t>
            </w:r>
            <w:r w:rsidR="003D5013">
              <w:rPr>
                <w:rFonts w:eastAsia="Times New Roman" w:cs="Times New Roman"/>
                <w:color w:val="000000"/>
                <w:lang w:eastAsia="hu-HU"/>
              </w:rPr>
              <w:t>Fő exportőrök</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41</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0,04</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10,6</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19,4</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21</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4,64</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41,5</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0,04</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10,6</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19,4</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22</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4,14</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Argent</w:t>
            </w:r>
            <w:r w:rsidR="003D5013">
              <w:rPr>
                <w:rFonts w:eastAsia="Times New Roman" w:cs="Times New Roman"/>
                <w:color w:val="000000"/>
                <w:lang w:eastAsia="hu-HU"/>
              </w:rPr>
              <w:t>ína</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0,94</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27,5</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0,01</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8,3</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18,5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1,65</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0,94</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28</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0,01</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8,3</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19,5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1,15</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w:t>
            </w:r>
            <w:r w:rsidR="003D5013">
              <w:rPr>
                <w:rFonts w:eastAsia="Times New Roman" w:cs="Times New Roman"/>
                <w:color w:val="000000"/>
                <w:lang w:eastAsia="hu-HU"/>
              </w:rPr>
              <w:t>Dél-Afrika</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3,06</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13,5</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0,03</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5,1</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11,1</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2,99</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3,06</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13,5</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0,03</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5,1</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11,1</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2,99</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w:t>
            </w:r>
            <w:r w:rsidR="003D5013">
              <w:rPr>
                <w:rFonts w:eastAsia="Times New Roman" w:cs="Times New Roman"/>
                <w:color w:val="000000"/>
                <w:lang w:eastAsia="hu-HU"/>
              </w:rPr>
              <w:t>Fő importőrök</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15,65</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107,45</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55,9</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117,9</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166,43</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0,84</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11,73</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15,4</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107,31</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56</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117,4</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165,93</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1,34</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11,45</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Egy</w:t>
            </w:r>
            <w:r w:rsidR="003D5013">
              <w:rPr>
                <w:rFonts w:eastAsia="Times New Roman" w:cs="Times New Roman"/>
                <w:color w:val="000000"/>
                <w:lang w:eastAsia="hu-HU"/>
              </w:rPr>
              <w:t>iptom</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2,17</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5,8</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10,2</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12,2</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0,01</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1,26</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vMerge w:val="restart"/>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2,17</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5,8</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10,2</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12,2</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0,01</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1,26</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vMerge/>
            <w:tcBorders>
              <w:top w:val="nil"/>
              <w:left w:val="nil"/>
              <w:bottom w:val="nil"/>
              <w:right w:val="double" w:sz="6" w:space="0" w:color="000000"/>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proofErr w:type="spellStart"/>
            <w:r w:rsidRPr="005C77A0">
              <w:rPr>
                <w:rFonts w:eastAsia="Times New Roman" w:cs="Times New Roman"/>
                <w:color w:val="FFFFFF"/>
                <w:lang w:eastAsia="hu-HU"/>
              </w:rPr>
              <w:t>filler</w:t>
            </w:r>
            <w:proofErr w:type="spellEnd"/>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proofErr w:type="spellStart"/>
            <w:r w:rsidRPr="005C77A0">
              <w:rPr>
                <w:rFonts w:eastAsia="Times New Roman" w:cs="Times New Roman"/>
                <w:color w:val="FFFFFF"/>
                <w:lang w:eastAsia="hu-HU"/>
              </w:rPr>
              <w:t>filler</w:t>
            </w:r>
            <w:proofErr w:type="spellEnd"/>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proofErr w:type="spellStart"/>
            <w:r w:rsidRPr="005C77A0">
              <w:rPr>
                <w:rFonts w:eastAsia="Times New Roman" w:cs="Times New Roman"/>
                <w:color w:val="FFFFFF"/>
                <w:lang w:eastAsia="hu-HU"/>
              </w:rPr>
              <w:t>filler</w:t>
            </w:r>
            <w:proofErr w:type="spellEnd"/>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proofErr w:type="spellStart"/>
            <w:r w:rsidRPr="005C77A0">
              <w:rPr>
                <w:rFonts w:eastAsia="Times New Roman" w:cs="Times New Roman"/>
                <w:color w:val="FFFFFF"/>
                <w:lang w:eastAsia="hu-HU"/>
              </w:rPr>
              <w:t>filler</w:t>
            </w:r>
            <w:proofErr w:type="spellEnd"/>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proofErr w:type="spellStart"/>
            <w:r w:rsidRPr="005C77A0">
              <w:rPr>
                <w:rFonts w:eastAsia="Times New Roman" w:cs="Times New Roman"/>
                <w:color w:val="FFFFFF"/>
                <w:lang w:eastAsia="hu-HU"/>
              </w:rPr>
              <w:t>filler</w:t>
            </w:r>
            <w:proofErr w:type="spellEnd"/>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proofErr w:type="spellStart"/>
            <w:r w:rsidRPr="005C77A0">
              <w:rPr>
                <w:rFonts w:eastAsia="Times New Roman" w:cs="Times New Roman"/>
                <w:color w:val="FFFFFF"/>
                <w:lang w:eastAsia="hu-HU"/>
              </w:rPr>
              <w:t>filler</w:t>
            </w:r>
            <w:proofErr w:type="spellEnd"/>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proofErr w:type="spellStart"/>
            <w:r w:rsidRPr="005C77A0">
              <w:rPr>
                <w:rFonts w:eastAsia="Times New Roman" w:cs="Times New Roman"/>
                <w:color w:val="FFFFFF"/>
                <w:lang w:eastAsia="hu-HU"/>
              </w:rPr>
              <w:t>filler</w:t>
            </w:r>
            <w:proofErr w:type="spellEnd"/>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EU-27 </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6,8</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54,67</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49</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64,5</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4,47</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6,7</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54,67</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48,5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64</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4,37</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Jap</w:t>
            </w:r>
            <w:r w:rsidR="003D5013">
              <w:rPr>
                <w:rFonts w:eastAsia="Times New Roman" w:cs="Times New Roman"/>
                <w:color w:val="000000"/>
                <w:lang w:eastAsia="hu-HU"/>
              </w:rPr>
              <w:t>án</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0,61</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0,61</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0,61</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0,61</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Mexi</w:t>
            </w:r>
            <w:r w:rsidR="003D5013">
              <w:rPr>
                <w:rFonts w:eastAsia="Times New Roman" w:cs="Times New Roman"/>
                <w:color w:val="000000"/>
                <w:lang w:eastAsia="hu-HU"/>
              </w:rPr>
              <w:t>kó</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1,49</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20,7</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9</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29,7</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0,1</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1,39</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1,32</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20,7</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9</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29,7</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0,1</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1,22</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w:t>
            </w:r>
            <w:proofErr w:type="spellStart"/>
            <w:r w:rsidR="003D5013">
              <w:rPr>
                <w:rFonts w:eastAsia="Times New Roman" w:cs="Times New Roman"/>
                <w:color w:val="000000"/>
                <w:lang w:eastAsia="hu-HU"/>
              </w:rPr>
              <w:t>D-K-Ázsia</w:t>
            </w:r>
            <w:proofErr w:type="spellEnd"/>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2,64</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26,15</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6,1</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24,6</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32,6</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0,23</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2,06</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2,68</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26,02</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6,2</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24,6</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32,6</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0,23</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2,06</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w:t>
            </w:r>
            <w:r w:rsidR="003D5013">
              <w:rPr>
                <w:rFonts w:eastAsia="Times New Roman" w:cs="Times New Roman"/>
                <w:color w:val="000000"/>
                <w:lang w:eastAsia="hu-HU"/>
              </w:rPr>
              <w:t>Dél-Korea</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1,48</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0,08</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8,1</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1,46</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1,48</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0,08</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8,1</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1,46</w:t>
            </w:r>
          </w:p>
        </w:tc>
      </w:tr>
      <w:tr w:rsidR="005C77A0" w:rsidRPr="005C77A0" w:rsidTr="005C77A0">
        <w:trPr>
          <w:trHeight w:val="255"/>
        </w:trPr>
        <w:tc>
          <w:tcPr>
            <w:tcW w:w="2160" w:type="dxa"/>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w:t>
            </w:r>
            <w:r w:rsidR="003D5013">
              <w:rPr>
                <w:rFonts w:eastAsia="Times New Roman" w:cs="Times New Roman"/>
                <w:color w:val="000000"/>
                <w:lang w:eastAsia="hu-HU"/>
              </w:rPr>
              <w:t>Egyéb országok</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Braz</w:t>
            </w:r>
            <w:r w:rsidR="003D5013">
              <w:rPr>
                <w:rFonts w:eastAsia="Times New Roman" w:cs="Times New Roman"/>
                <w:color w:val="000000"/>
                <w:lang w:eastAsia="hu-HU"/>
              </w:rPr>
              <w:t>ília</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10,58</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70</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0,8</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47</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55</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16</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10,38</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10,08</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71</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0,8</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47</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55</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17,5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9,38</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w:t>
            </w:r>
            <w:r w:rsidR="003D5013">
              <w:rPr>
                <w:rFonts w:eastAsia="Times New Roman" w:cs="Times New Roman"/>
                <w:color w:val="000000"/>
                <w:lang w:eastAsia="hu-HU"/>
              </w:rPr>
              <w:t>Kanada</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1,35</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13,06</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12</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1,41</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1,35</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13,06</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12</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1,41</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w:t>
            </w:r>
            <w:r w:rsidR="003D5013">
              <w:rPr>
                <w:rFonts w:eastAsia="Times New Roman" w:cs="Times New Roman"/>
                <w:color w:val="000000"/>
                <w:lang w:eastAsia="hu-HU"/>
              </w:rPr>
              <w:t>Kína</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59,34</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208</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209</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0,2</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60,14</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59,34</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208</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209</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0,2</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60,14</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F</w:t>
            </w:r>
            <w:r w:rsidR="003D5013">
              <w:rPr>
                <w:rFonts w:eastAsia="Times New Roman" w:cs="Times New Roman"/>
                <w:color w:val="000000"/>
                <w:lang w:eastAsia="hu-HU"/>
              </w:rPr>
              <w:t>ÁK országok</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2,15</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32,26</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0,34</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14,99</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17,76</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15,14</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1,85</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2,33</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31,76</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0,44</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14,89</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17,66</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15,14</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1,73</w:t>
            </w:r>
          </w:p>
        </w:tc>
      </w:tr>
      <w:tr w:rsidR="005C77A0" w:rsidRPr="005C77A0" w:rsidTr="005C77A0">
        <w:trPr>
          <w:trHeight w:val="255"/>
        </w:trPr>
        <w:tc>
          <w:tcPr>
            <w:tcW w:w="2160" w:type="dxa"/>
            <w:vMerge w:val="restart"/>
            <w:tcBorders>
              <w:top w:val="nil"/>
              <w:left w:val="nil"/>
              <w:bottom w:val="nil"/>
              <w:right w:val="nil"/>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 xml:space="preserve">            Ukra</w:t>
            </w:r>
            <w:r w:rsidR="003D5013">
              <w:rPr>
                <w:rFonts w:eastAsia="Times New Roman" w:cs="Times New Roman"/>
                <w:color w:val="000000"/>
                <w:lang w:eastAsia="hu-HU"/>
              </w:rPr>
              <w:t>jna</w:t>
            </w: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proofErr w:type="spellStart"/>
            <w:r w:rsidRPr="005C77A0">
              <w:rPr>
                <w:rFonts w:eastAsia="Times New Roman" w:cs="Times New Roman"/>
                <w:color w:val="000000"/>
                <w:lang w:eastAsia="hu-HU"/>
              </w:rPr>
              <w:t>Dec</w:t>
            </w:r>
            <w:proofErr w:type="spellEnd"/>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1,05</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20,5</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12,5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w:t>
            </w:r>
          </w:p>
        </w:tc>
      </w:tr>
      <w:tr w:rsidR="005C77A0" w:rsidRPr="005C77A0" w:rsidTr="005C77A0">
        <w:trPr>
          <w:trHeight w:val="255"/>
        </w:trPr>
        <w:tc>
          <w:tcPr>
            <w:tcW w:w="2160" w:type="dxa"/>
            <w:vMerge/>
            <w:tcBorders>
              <w:top w:val="nil"/>
              <w:left w:val="nil"/>
              <w:bottom w:val="nil"/>
              <w:right w:val="nil"/>
            </w:tcBorders>
            <w:vAlign w:val="center"/>
            <w:hideMark/>
          </w:tcPr>
          <w:p w:rsidR="005C77A0" w:rsidRPr="005C77A0" w:rsidRDefault="005C77A0" w:rsidP="005C77A0">
            <w:pPr>
              <w:spacing w:after="0" w:line="240" w:lineRule="auto"/>
              <w:rPr>
                <w:rFonts w:eastAsia="Times New Roman" w:cs="Times New Roman"/>
                <w:color w:val="000000"/>
                <w:lang w:eastAsia="hu-HU"/>
              </w:rPr>
            </w:pPr>
          </w:p>
        </w:tc>
        <w:tc>
          <w:tcPr>
            <w:tcW w:w="440" w:type="dxa"/>
            <w:tcBorders>
              <w:top w:val="nil"/>
              <w:left w:val="nil"/>
              <w:bottom w:val="nil"/>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000000"/>
                <w:lang w:eastAsia="hu-HU"/>
              </w:rPr>
            </w:pPr>
            <w:r w:rsidRPr="005C77A0">
              <w:rPr>
                <w:rFonts w:eastAsia="Times New Roman" w:cs="Times New Roman"/>
                <w:color w:val="000000"/>
                <w:lang w:eastAsia="hu-HU"/>
              </w:rPr>
              <w:t>Jan</w:t>
            </w:r>
          </w:p>
        </w:tc>
        <w:tc>
          <w:tcPr>
            <w:tcW w:w="96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1,05</w:t>
            </w:r>
          </w:p>
        </w:tc>
        <w:tc>
          <w:tcPr>
            <w:tcW w:w="10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20,5</w:t>
            </w:r>
          </w:p>
        </w:tc>
        <w:tc>
          <w:tcPr>
            <w:tcW w:w="74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0,05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6,5</w:t>
            </w:r>
          </w:p>
        </w:tc>
        <w:tc>
          <w:tcPr>
            <w:tcW w:w="88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8</w:t>
            </w:r>
          </w:p>
        </w:tc>
        <w:tc>
          <w:tcPr>
            <w:tcW w:w="7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12,5</w:t>
            </w:r>
          </w:p>
        </w:tc>
        <w:tc>
          <w:tcPr>
            <w:tcW w:w="1120" w:type="dxa"/>
            <w:tcBorders>
              <w:top w:val="nil"/>
              <w:left w:val="nil"/>
              <w:bottom w:val="nil"/>
              <w:right w:val="nil"/>
            </w:tcBorders>
            <w:shd w:val="clear" w:color="auto" w:fill="auto"/>
            <w:hideMark/>
          </w:tcPr>
          <w:p w:rsidR="005C77A0" w:rsidRPr="005C77A0" w:rsidRDefault="005C77A0" w:rsidP="005C77A0">
            <w:pPr>
              <w:spacing w:after="0" w:line="240" w:lineRule="auto"/>
              <w:jc w:val="right"/>
              <w:rPr>
                <w:rFonts w:eastAsia="Times New Roman" w:cs="Times New Roman"/>
                <w:color w:val="000000"/>
                <w:lang w:eastAsia="hu-HU"/>
              </w:rPr>
            </w:pPr>
            <w:r w:rsidRPr="005C77A0">
              <w:rPr>
                <w:rFonts w:eastAsia="Times New Roman" w:cs="Times New Roman"/>
                <w:color w:val="000000"/>
                <w:lang w:eastAsia="hu-HU"/>
              </w:rPr>
              <w:t>1,1</w:t>
            </w:r>
          </w:p>
        </w:tc>
      </w:tr>
      <w:tr w:rsidR="005C77A0" w:rsidRPr="005C77A0" w:rsidTr="005C77A0">
        <w:trPr>
          <w:trHeight w:val="271"/>
        </w:trPr>
        <w:tc>
          <w:tcPr>
            <w:tcW w:w="2160" w:type="dxa"/>
            <w:tcBorders>
              <w:top w:val="nil"/>
              <w:left w:val="nil"/>
              <w:bottom w:val="double" w:sz="6" w:space="0" w:color="000000"/>
              <w:right w:val="nil"/>
            </w:tcBorders>
            <w:shd w:val="clear" w:color="auto" w:fill="auto"/>
            <w:hideMark/>
          </w:tcPr>
          <w:p w:rsidR="005C77A0" w:rsidRPr="005C77A0" w:rsidRDefault="005C77A0" w:rsidP="005C77A0">
            <w:pPr>
              <w:spacing w:after="0" w:line="240" w:lineRule="auto"/>
              <w:rPr>
                <w:rFonts w:eastAsia="Times New Roman" w:cs="Times New Roman"/>
                <w:color w:val="FFFFFF"/>
                <w:lang w:eastAsia="hu-HU"/>
              </w:rPr>
            </w:pPr>
            <w:r w:rsidRPr="005C77A0">
              <w:rPr>
                <w:rFonts w:eastAsia="Times New Roman" w:cs="Times New Roman"/>
                <w:color w:val="FFFFFF"/>
                <w:lang w:eastAsia="hu-HU"/>
              </w:rPr>
              <w:t> </w:t>
            </w:r>
          </w:p>
        </w:tc>
        <w:tc>
          <w:tcPr>
            <w:tcW w:w="440" w:type="dxa"/>
            <w:tcBorders>
              <w:top w:val="nil"/>
              <w:left w:val="nil"/>
              <w:bottom w:val="double" w:sz="6" w:space="0" w:color="000000"/>
              <w:right w:val="double" w:sz="6" w:space="0" w:color="000000"/>
            </w:tcBorders>
            <w:shd w:val="clear" w:color="auto" w:fill="auto"/>
            <w:hideMark/>
          </w:tcPr>
          <w:p w:rsidR="005C77A0" w:rsidRPr="005C77A0" w:rsidRDefault="005C77A0" w:rsidP="005C77A0">
            <w:pPr>
              <w:spacing w:after="0" w:line="240" w:lineRule="auto"/>
              <w:rPr>
                <w:rFonts w:eastAsia="Times New Roman" w:cs="Times New Roman"/>
                <w:color w:val="FFFFFF"/>
                <w:lang w:eastAsia="hu-HU"/>
              </w:rPr>
            </w:pPr>
            <w:r w:rsidRPr="005C77A0">
              <w:rPr>
                <w:rFonts w:eastAsia="Times New Roman" w:cs="Times New Roman"/>
                <w:color w:val="FFFFFF"/>
                <w:lang w:eastAsia="hu-HU"/>
              </w:rPr>
              <w:t> </w:t>
            </w:r>
          </w:p>
        </w:tc>
        <w:tc>
          <w:tcPr>
            <w:tcW w:w="960" w:type="dxa"/>
            <w:tcBorders>
              <w:top w:val="nil"/>
              <w:left w:val="nil"/>
              <w:bottom w:val="double" w:sz="6" w:space="0" w:color="000000"/>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r w:rsidRPr="005C77A0">
              <w:rPr>
                <w:rFonts w:eastAsia="Times New Roman" w:cs="Times New Roman"/>
                <w:color w:val="FFFFFF"/>
                <w:lang w:eastAsia="hu-HU"/>
              </w:rPr>
              <w:t> </w:t>
            </w:r>
          </w:p>
        </w:tc>
        <w:tc>
          <w:tcPr>
            <w:tcW w:w="1020" w:type="dxa"/>
            <w:tcBorders>
              <w:top w:val="nil"/>
              <w:left w:val="nil"/>
              <w:bottom w:val="double" w:sz="6" w:space="0" w:color="000000"/>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r w:rsidRPr="005C77A0">
              <w:rPr>
                <w:rFonts w:eastAsia="Times New Roman" w:cs="Times New Roman"/>
                <w:color w:val="FFFFFF"/>
                <w:lang w:eastAsia="hu-HU"/>
              </w:rPr>
              <w:t> </w:t>
            </w:r>
          </w:p>
        </w:tc>
        <w:tc>
          <w:tcPr>
            <w:tcW w:w="740" w:type="dxa"/>
            <w:tcBorders>
              <w:top w:val="nil"/>
              <w:left w:val="nil"/>
              <w:bottom w:val="double" w:sz="6" w:space="0" w:color="000000"/>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r w:rsidRPr="005C77A0">
              <w:rPr>
                <w:rFonts w:eastAsia="Times New Roman" w:cs="Times New Roman"/>
                <w:color w:val="FFFFFF"/>
                <w:lang w:eastAsia="hu-HU"/>
              </w:rPr>
              <w:t> </w:t>
            </w:r>
          </w:p>
        </w:tc>
        <w:tc>
          <w:tcPr>
            <w:tcW w:w="880" w:type="dxa"/>
            <w:tcBorders>
              <w:top w:val="nil"/>
              <w:left w:val="nil"/>
              <w:bottom w:val="double" w:sz="6" w:space="0" w:color="000000"/>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r w:rsidRPr="005C77A0">
              <w:rPr>
                <w:rFonts w:eastAsia="Times New Roman" w:cs="Times New Roman"/>
                <w:color w:val="FFFFFF"/>
                <w:lang w:eastAsia="hu-HU"/>
              </w:rPr>
              <w:t> </w:t>
            </w:r>
          </w:p>
        </w:tc>
        <w:tc>
          <w:tcPr>
            <w:tcW w:w="880" w:type="dxa"/>
            <w:tcBorders>
              <w:top w:val="nil"/>
              <w:left w:val="nil"/>
              <w:bottom w:val="double" w:sz="6" w:space="0" w:color="000000"/>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r w:rsidRPr="005C77A0">
              <w:rPr>
                <w:rFonts w:eastAsia="Times New Roman" w:cs="Times New Roman"/>
                <w:color w:val="FFFFFF"/>
                <w:lang w:eastAsia="hu-HU"/>
              </w:rPr>
              <w:t> </w:t>
            </w:r>
          </w:p>
        </w:tc>
        <w:tc>
          <w:tcPr>
            <w:tcW w:w="720" w:type="dxa"/>
            <w:tcBorders>
              <w:top w:val="nil"/>
              <w:left w:val="nil"/>
              <w:bottom w:val="double" w:sz="6" w:space="0" w:color="000000"/>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r w:rsidRPr="005C77A0">
              <w:rPr>
                <w:rFonts w:eastAsia="Times New Roman" w:cs="Times New Roman"/>
                <w:color w:val="FFFFFF"/>
                <w:lang w:eastAsia="hu-HU"/>
              </w:rPr>
              <w:t> </w:t>
            </w:r>
          </w:p>
        </w:tc>
        <w:tc>
          <w:tcPr>
            <w:tcW w:w="1120" w:type="dxa"/>
            <w:tcBorders>
              <w:top w:val="nil"/>
              <w:left w:val="nil"/>
              <w:bottom w:val="double" w:sz="6" w:space="0" w:color="000000"/>
              <w:right w:val="nil"/>
            </w:tcBorders>
            <w:shd w:val="clear" w:color="auto" w:fill="auto"/>
            <w:hideMark/>
          </w:tcPr>
          <w:p w:rsidR="005C77A0" w:rsidRPr="005C77A0" w:rsidRDefault="005C77A0" w:rsidP="005C77A0">
            <w:pPr>
              <w:spacing w:after="0" w:line="240" w:lineRule="auto"/>
              <w:jc w:val="right"/>
              <w:rPr>
                <w:rFonts w:eastAsia="Times New Roman" w:cs="Times New Roman"/>
                <w:color w:val="FFFFFF"/>
                <w:lang w:eastAsia="hu-HU"/>
              </w:rPr>
            </w:pPr>
            <w:r w:rsidRPr="005C77A0">
              <w:rPr>
                <w:rFonts w:eastAsia="Times New Roman" w:cs="Times New Roman"/>
                <w:color w:val="FFFFFF"/>
                <w:lang w:eastAsia="hu-HU"/>
              </w:rPr>
              <w:t> </w:t>
            </w:r>
          </w:p>
        </w:tc>
      </w:tr>
    </w:tbl>
    <w:p w:rsidR="005C77A0" w:rsidRPr="003D5013" w:rsidRDefault="005C77A0" w:rsidP="00370326">
      <w:pPr>
        <w:jc w:val="both"/>
        <w:rPr>
          <w:rFonts w:cstheme="minorHAnsi"/>
        </w:rPr>
      </w:pPr>
    </w:p>
    <w:p w:rsidR="00DC4583" w:rsidRPr="003D5013" w:rsidRDefault="00DC4583" w:rsidP="00370326">
      <w:pPr>
        <w:jc w:val="both"/>
        <w:rPr>
          <w:rFonts w:cstheme="minorHAnsi"/>
        </w:rPr>
      </w:pPr>
    </w:p>
    <w:p w:rsidR="00EB2977" w:rsidRPr="00370326" w:rsidRDefault="00EB2977" w:rsidP="00370326">
      <w:pPr>
        <w:jc w:val="both"/>
        <w:rPr>
          <w:sz w:val="24"/>
          <w:szCs w:val="24"/>
        </w:rPr>
      </w:pPr>
    </w:p>
    <w:sectPr w:rsidR="00EB2977" w:rsidRPr="00370326" w:rsidSect="005642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57A"/>
    <w:multiLevelType w:val="hybridMultilevel"/>
    <w:tmpl w:val="5A34F6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2257570"/>
    <w:multiLevelType w:val="hybridMultilevel"/>
    <w:tmpl w:val="3C60A3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26028"/>
    <w:rsid w:val="000E1312"/>
    <w:rsid w:val="00370326"/>
    <w:rsid w:val="003D5013"/>
    <w:rsid w:val="00564250"/>
    <w:rsid w:val="005C77A0"/>
    <w:rsid w:val="006807C3"/>
    <w:rsid w:val="00785B66"/>
    <w:rsid w:val="008A618D"/>
    <w:rsid w:val="00986C4D"/>
    <w:rsid w:val="00A26028"/>
    <w:rsid w:val="00C57E3B"/>
    <w:rsid w:val="00D50857"/>
    <w:rsid w:val="00DC4583"/>
    <w:rsid w:val="00EB2977"/>
    <w:rsid w:val="00F114F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425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70326"/>
    <w:rPr>
      <w:color w:val="0000FF"/>
      <w:u w:val="single"/>
    </w:rPr>
  </w:style>
  <w:style w:type="paragraph" w:styleId="Listaszerbekezds">
    <w:name w:val="List Paragraph"/>
    <w:basedOn w:val="Norml"/>
    <w:uiPriority w:val="34"/>
    <w:qFormat/>
    <w:rsid w:val="00F114F2"/>
    <w:pPr>
      <w:ind w:left="720"/>
      <w:contextualSpacing/>
    </w:pPr>
  </w:style>
</w:styles>
</file>

<file path=word/webSettings.xml><?xml version="1.0" encoding="utf-8"?>
<w:webSettings xmlns:r="http://schemas.openxmlformats.org/officeDocument/2006/relationships" xmlns:w="http://schemas.openxmlformats.org/wordprocessingml/2006/main">
  <w:divs>
    <w:div w:id="66418859">
      <w:bodyDiv w:val="1"/>
      <w:marLeft w:val="0"/>
      <w:marRight w:val="0"/>
      <w:marTop w:val="0"/>
      <w:marBottom w:val="0"/>
      <w:divBdr>
        <w:top w:val="none" w:sz="0" w:space="0" w:color="auto"/>
        <w:left w:val="none" w:sz="0" w:space="0" w:color="auto"/>
        <w:bottom w:val="none" w:sz="0" w:space="0" w:color="auto"/>
        <w:right w:val="none" w:sz="0" w:space="0" w:color="auto"/>
      </w:divBdr>
    </w:div>
    <w:div w:id="172230847">
      <w:bodyDiv w:val="1"/>
      <w:marLeft w:val="0"/>
      <w:marRight w:val="0"/>
      <w:marTop w:val="0"/>
      <w:marBottom w:val="0"/>
      <w:divBdr>
        <w:top w:val="none" w:sz="0" w:space="0" w:color="auto"/>
        <w:left w:val="none" w:sz="0" w:space="0" w:color="auto"/>
        <w:bottom w:val="none" w:sz="0" w:space="0" w:color="auto"/>
        <w:right w:val="none" w:sz="0" w:space="0" w:color="auto"/>
      </w:divBdr>
    </w:div>
    <w:div w:id="215748959">
      <w:bodyDiv w:val="1"/>
      <w:marLeft w:val="0"/>
      <w:marRight w:val="0"/>
      <w:marTop w:val="0"/>
      <w:marBottom w:val="0"/>
      <w:divBdr>
        <w:top w:val="none" w:sz="0" w:space="0" w:color="auto"/>
        <w:left w:val="none" w:sz="0" w:space="0" w:color="auto"/>
        <w:bottom w:val="none" w:sz="0" w:space="0" w:color="auto"/>
        <w:right w:val="none" w:sz="0" w:space="0" w:color="auto"/>
      </w:divBdr>
    </w:div>
    <w:div w:id="490147335">
      <w:bodyDiv w:val="1"/>
      <w:marLeft w:val="0"/>
      <w:marRight w:val="0"/>
      <w:marTop w:val="0"/>
      <w:marBottom w:val="0"/>
      <w:divBdr>
        <w:top w:val="none" w:sz="0" w:space="0" w:color="auto"/>
        <w:left w:val="none" w:sz="0" w:space="0" w:color="auto"/>
        <w:bottom w:val="none" w:sz="0" w:space="0" w:color="auto"/>
        <w:right w:val="none" w:sz="0" w:space="0" w:color="auto"/>
      </w:divBdr>
    </w:div>
    <w:div w:id="495196869">
      <w:bodyDiv w:val="1"/>
      <w:marLeft w:val="0"/>
      <w:marRight w:val="0"/>
      <w:marTop w:val="0"/>
      <w:marBottom w:val="0"/>
      <w:divBdr>
        <w:top w:val="none" w:sz="0" w:space="0" w:color="auto"/>
        <w:left w:val="none" w:sz="0" w:space="0" w:color="auto"/>
        <w:bottom w:val="none" w:sz="0" w:space="0" w:color="auto"/>
        <w:right w:val="none" w:sz="0" w:space="0" w:color="auto"/>
      </w:divBdr>
    </w:div>
    <w:div w:id="933172338">
      <w:bodyDiv w:val="1"/>
      <w:marLeft w:val="0"/>
      <w:marRight w:val="0"/>
      <w:marTop w:val="0"/>
      <w:marBottom w:val="0"/>
      <w:divBdr>
        <w:top w:val="none" w:sz="0" w:space="0" w:color="auto"/>
        <w:left w:val="none" w:sz="0" w:space="0" w:color="auto"/>
        <w:bottom w:val="none" w:sz="0" w:space="0" w:color="auto"/>
        <w:right w:val="none" w:sz="0" w:space="0" w:color="auto"/>
      </w:divBdr>
    </w:div>
    <w:div w:id="1555315332">
      <w:bodyDiv w:val="1"/>
      <w:marLeft w:val="0"/>
      <w:marRight w:val="0"/>
      <w:marTop w:val="0"/>
      <w:marBottom w:val="0"/>
      <w:divBdr>
        <w:top w:val="none" w:sz="0" w:space="0" w:color="auto"/>
        <w:left w:val="none" w:sz="0" w:space="0" w:color="auto"/>
        <w:bottom w:val="none" w:sz="0" w:space="0" w:color="auto"/>
        <w:right w:val="none" w:sz="0" w:space="0" w:color="auto"/>
      </w:divBdr>
    </w:div>
    <w:div w:id="19249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da.gov/oce/commodity/wasde/late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807</Words>
  <Characters>5575</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hunbensz</dc:creator>
  <cp:lastModifiedBy>hunbensz</cp:lastModifiedBy>
  <cp:revision>12</cp:revision>
  <dcterms:created xsi:type="dcterms:W3CDTF">2013-01-13T18:03:00Z</dcterms:created>
  <dcterms:modified xsi:type="dcterms:W3CDTF">2013-01-13T19:44:00Z</dcterms:modified>
</cp:coreProperties>
</file>